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Free sample from BA Toolkit Complete</w:t>
      </w:r>
    </w:p>
    <w:p>
      <w:r>
        <w:t>This is one filled example from BA Toolkit Complete, which contains 59 Word and Excel files. The project, people and figures are fictional: a status report for Meridian Mutual's customer portal, Release 1.</w:t>
      </w:r>
    </w:p>
    <w:p>
      <w:r>
        <w:t>The example shows a template completed through one reporting period, from the RAG status and achievements to the risks, decisions and next steps.</w:t>
      </w:r>
    </w:p>
    <w:p>
      <w:r>
        <w:t>IDs such as FSF-11 or GOV-01 refer to other files in the toolkit, which are not part of this sample. The full toolkit is available at baaicollective.com.</w:t>
      </w:r>
    </w:p>
    <w:p>
      <w:pPr>
        <w:pStyle w:val="Title"/>
      </w:pPr>
      <w:r>
        <w:rPr>
          <w:rFonts w:ascii="Arial" w:hAnsi="Arial" w:cs="Arial" w:eastAsia="Arial"/>
          <w:b/>
          <w:i w:val="0"/>
          <w:color w:val="1F4E78"/>
          <w:sz w:val="40"/>
        </w:rPr>
        <w:t>Project Status Report</w:t>
      </w:r>
    </w:p>
    <w:p>
      <w:pPr>
        <w:spacing w:after="160"/>
      </w:pPr>
      <w:r>
        <w:rPr>
          <w:rFonts w:ascii="Arial" w:hAnsi="Arial" w:cs="Arial" w:eastAsia="Arial"/>
          <w:b w:val="0"/>
          <w:i w:val="0"/>
          <w:color w:val="7F7F7F"/>
          <w:sz w:val="18"/>
        </w:rPr>
        <w:t xml:space="preserve">BA Toolkit v9.3 | October 2026</w:t>
      </w:r>
    </w:p>
    <w:p>
      <w:pPr>
        <w:pBdr>
          <w:left w:val="single" w:sz="24" w:space="6" w:color="B08D57"/>
        </w:pBdr>
        <w:shd w:val="clear" w:color="auto" w:fill="F6F1E7"/>
        <w:spacing w:before="80" w:after="160"/>
        <w:ind w:left="142"/>
      </w:pPr>
      <w:r>
        <w:rPr>
          <w:rFonts w:ascii="Arial" w:hAnsi="Arial" w:cs="Arial" w:eastAsia="Arial"/>
          <w:b/>
          <w:i w:val="0"/>
          <w:color w:val="262626"/>
          <w:sz w:val="20"/>
        </w:rPr>
        <w:t xml:space="preserve">Fictional example. </w:t>
      </w:r>
      <w:r>
        <w:rPr>
          <w:rFonts w:ascii="Arial" w:hAnsi="Arial" w:cs="Arial" w:eastAsia="Arial"/>
          <w:b w:val="0"/>
          <w:i w:val="0"/>
          <w:color w:val="262626"/>
          <w:sz w:val="20"/>
        </w:rPr>
        <w:t>Meridian Mutual customer portal, Release 1. Position as at 12 June 2026, the close of UAT cycle 1. All names, figures and decisions are fictional.</w:t>
      </w:r>
    </w:p>
    <w:tbl>
      <w:tblPr>
        <w:tblW w:w="9638" w:type="dxa"/>
        <w:tblLayout w:type="fixed"/>
      </w:tblPr>
      <w:tblGrid>
        <w:gridCol w:w="2698"/>
        <w:gridCol w:w="6940"/>
      </w:tblGrid>
      <w:tr>
        <w:trPr>
          <w:cantSplit/>
        </w:trPr>
        <w:tc>
          <w:tcPr>
            <w:tcW w:w="269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2F5F9"/>
            <w:tcMar>
              <w:top w:w="60" w:type="dxa"/>
              <w:left w:w="100" w:type="dxa"/>
              <w:bottom w:w="60" w:type="dxa"/>
              <w:right w:w="100" w:type="dxa"/>
            </w:tcMar>
          </w:tcPr>
          <w:p>
            <w:pPr>
              <w:spacing w:before="0" w:after="20" w:line="252" w:lineRule="auto"/>
            </w:pPr>
            <w:r/>
            <w:r>
              <w:rPr>
                <w:rFonts w:ascii="Arial" w:hAnsi="Arial" w:cs="Arial" w:eastAsia="Arial"/>
                <w:b/>
                <w:i w:val="0"/>
                <w:color w:val="1F4E78"/>
                <w:sz w:val="18"/>
              </w:rPr>
              <w:t>Project Name</w:t>
            </w:r>
          </w:p>
        </w:tc>
        <w:tc>
          <w:tcPr>
            <w:tcW w:w="694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>
            <w:pPr>
              <w:spacing w:before="0" w:after="20" w:line="252" w:lineRule="auto"/>
            </w:pPr>
            <w:r/>
            <w:r>
              <w:rPr>
                <w:rFonts w:ascii="Arial" w:hAnsi="Arial" w:cs="Arial" w:eastAsia="Arial"/>
                <w:b w:val="0"/>
                <w:i w:val="0"/>
                <w:color w:val="262626"/>
                <w:sz w:val="18"/>
              </w:rPr>
              <w:t>Meridian customer portal, Release 1</w:t>
            </w:r>
          </w:p>
        </w:tc>
      </w:tr>
      <w:tr>
        <w:trPr>
          <w:cantSplit/>
        </w:trPr>
        <w:tc>
          <w:tcPr>
            <w:tcW w:w="269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2F5F9"/>
            <w:tcMar>
              <w:top w:w="60" w:type="dxa"/>
              <w:left w:w="100" w:type="dxa"/>
              <w:bottom w:w="60" w:type="dxa"/>
              <w:right w:w="100" w:type="dxa"/>
            </w:tcMar>
          </w:tcPr>
          <w:p>
            <w:pPr>
              <w:spacing w:before="0" w:after="20" w:line="252" w:lineRule="auto"/>
            </w:pPr>
            <w:r/>
            <w:r>
              <w:rPr>
                <w:rFonts w:ascii="Arial" w:hAnsi="Arial" w:cs="Arial" w:eastAsia="Arial"/>
                <w:b/>
                <w:i w:val="0"/>
                <w:color w:val="1F4E78"/>
                <w:sz w:val="18"/>
              </w:rPr>
              <w:t>Reporting Period</w:t>
            </w:r>
          </w:p>
        </w:tc>
        <w:tc>
          <w:tcPr>
            <w:tcW w:w="694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>
            <w:pPr>
              <w:spacing w:before="0" w:after="20" w:line="252" w:lineRule="auto"/>
            </w:pPr>
            <w:r/>
            <w:r>
              <w:rPr>
                <w:rFonts w:ascii="Arial" w:hAnsi="Arial" w:cs="Arial" w:eastAsia="Arial"/>
                <w:b w:val="0"/>
                <w:i w:val="0"/>
                <w:color w:val="262626"/>
                <w:sz w:val="18"/>
              </w:rPr>
              <w:t>Week ending Friday 12 June 2026 (UAT cycle 1 close)</w:t>
            </w:r>
          </w:p>
        </w:tc>
      </w:tr>
      <w:tr>
        <w:trPr>
          <w:cantSplit/>
        </w:trPr>
        <w:tc>
          <w:tcPr>
            <w:tcW w:w="269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2F5F9"/>
            <w:tcMar>
              <w:top w:w="60" w:type="dxa"/>
              <w:left w:w="100" w:type="dxa"/>
              <w:bottom w:w="60" w:type="dxa"/>
              <w:right w:w="100" w:type="dxa"/>
            </w:tcMar>
          </w:tcPr>
          <w:p>
            <w:pPr>
              <w:spacing w:before="0" w:after="20" w:line="252" w:lineRule="auto"/>
            </w:pPr>
            <w:r/>
            <w:r>
              <w:rPr>
                <w:rFonts w:ascii="Arial" w:hAnsi="Arial" w:cs="Arial" w:eastAsia="Arial"/>
                <w:b/>
                <w:i w:val="0"/>
                <w:color w:val="1F4E78"/>
                <w:sz w:val="18"/>
              </w:rPr>
              <w:t>PM</w:t>
            </w:r>
          </w:p>
        </w:tc>
        <w:tc>
          <w:tcPr>
            <w:tcW w:w="694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>
            <w:pPr>
              <w:spacing w:before="0" w:after="20" w:line="252" w:lineRule="auto"/>
            </w:pPr>
            <w:r/>
            <w:r>
              <w:rPr>
                <w:rFonts w:ascii="Arial" w:hAnsi="Arial" w:cs="Arial" w:eastAsia="Arial"/>
                <w:b w:val="0"/>
                <w:i w:val="0"/>
                <w:color w:val="262626"/>
                <w:sz w:val="18"/>
              </w:rPr>
              <w:t>Kevin Marlow, Project Manager</w:t>
            </w:r>
          </w:p>
        </w:tc>
      </w:tr>
      <w:tr>
        <w:trPr>
          <w:cantSplit/>
        </w:trPr>
        <w:tc>
          <w:tcPr>
            <w:tcW w:w="269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2F5F9"/>
            <w:tcMar>
              <w:top w:w="60" w:type="dxa"/>
              <w:left w:w="100" w:type="dxa"/>
              <w:bottom w:w="60" w:type="dxa"/>
              <w:right w:w="100" w:type="dxa"/>
            </w:tcMar>
          </w:tcPr>
          <w:p>
            <w:pPr>
              <w:spacing w:before="0" w:after="20" w:line="252" w:lineRule="auto"/>
            </w:pPr>
            <w:r/>
            <w:r>
              <w:rPr>
                <w:rFonts w:ascii="Arial" w:hAnsi="Arial" w:cs="Arial" w:eastAsia="Arial"/>
                <w:b/>
                <w:i w:val="0"/>
                <w:color w:val="1F4E78"/>
                <w:sz w:val="18"/>
              </w:rPr>
              <w:t>BA Lead</w:t>
            </w:r>
          </w:p>
        </w:tc>
        <w:tc>
          <w:tcPr>
            <w:tcW w:w="694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>
            <w:pPr>
              <w:spacing w:before="0" w:after="20" w:line="252" w:lineRule="auto"/>
            </w:pPr>
            <w:r/>
            <w:r>
              <w:rPr>
                <w:rFonts w:ascii="Arial" w:hAnsi="Arial" w:cs="Arial" w:eastAsia="Arial"/>
                <w:b w:val="0"/>
                <w:i w:val="0"/>
                <w:color w:val="262626"/>
                <w:sz w:val="18"/>
              </w:rPr>
              <w:t>Laura Simmons, Lead BA</w:t>
            </w:r>
          </w:p>
        </w:tc>
      </w:tr>
      <w:tr>
        <w:trPr>
          <w:cantSplit/>
        </w:trPr>
        <w:tc>
          <w:tcPr>
            <w:tcW w:w="269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2F5F9"/>
            <w:tcMar>
              <w:top w:w="60" w:type="dxa"/>
              <w:left w:w="100" w:type="dxa"/>
              <w:bottom w:w="60" w:type="dxa"/>
              <w:right w:w="100" w:type="dxa"/>
            </w:tcMar>
          </w:tcPr>
          <w:p>
            <w:pPr>
              <w:spacing w:before="0" w:after="20" w:line="252" w:lineRule="auto"/>
            </w:pPr>
            <w:r/>
            <w:r>
              <w:rPr>
                <w:rFonts w:ascii="Arial" w:hAnsi="Arial" w:cs="Arial" w:eastAsia="Arial"/>
                <w:b/>
                <w:i w:val="0"/>
                <w:color w:val="1F4E78"/>
                <w:sz w:val="18"/>
              </w:rPr>
              <w:t>RAG Status</w:t>
            </w:r>
          </w:p>
        </w:tc>
        <w:tc>
          <w:tcPr>
            <w:tcW w:w="694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>
            <w:pPr>
              <w:spacing w:before="0" w:after="20" w:line="252" w:lineRule="auto"/>
            </w:pPr>
            <w:r/>
            <w:r>
              <w:rPr>
                <w:rFonts w:ascii="Arial" w:hAnsi="Arial" w:cs="Arial" w:eastAsia="Arial"/>
                <w:b w:val="0"/>
                <w:i w:val="0"/>
                <w:color w:val="262626"/>
                <w:sz w:val="18"/>
              </w:rPr>
              <w:t>Amber</w:t>
            </w:r>
          </w:p>
        </w:tc>
      </w:tr>
    </w:tbl>
    <w:p>
      <w:pPr>
        <w:spacing w:after="80" w:before="0"/>
      </w:pPr>
    </w:p>
    <w:p>
      <w:pPr>
        <w:pStyle w:val="Heading1"/>
      </w:pPr>
      <w:r>
        <w:rPr>
          <w:rFonts w:ascii="Arial" w:hAnsi="Arial" w:cs="Arial" w:eastAsia="Arial"/>
          <w:b/>
          <w:i w:val="0"/>
          <w:color w:val="1F4E78"/>
          <w:sz w:val="28"/>
        </w:rPr>
        <w:t>1. Executive Summary</w:t>
      </w:r>
    </w:p>
    <w:p>
      <w:pPr>
        <w:spacing w:after="120"/>
      </w:pPr>
      <w:r>
        <w:rPr>
          <w:rFonts w:ascii="Arial" w:hAnsi="Arial" w:cs="Arial" w:eastAsia="Arial"/>
          <w:b w:val="0"/>
          <w:i w:val="0"/>
          <w:color w:val="262626"/>
          <w:sz w:val="20"/>
        </w:rPr>
        <w:t>Overall status is Amber. UAT cycle 1 finished on its revised dates: of 35 designed tests, 26 were executed (21 Pass, 5 Fail), 2 were Blocked and 7 were Not run; the 16 Approved requirements in BL-02 are largely sound, with five outstanding defects and no Critical defect. The next focus is the three decisions that unlock REQ-001, REQ-002 and REQ-005 (DEC-09, DEC-01, DEC-08) between 17 and 19 June, because go-live on 14 July has no float left.</w:t>
      </w:r>
    </w:p>
    <w:p>
      <w:pPr>
        <w:pStyle w:val="Heading1"/>
      </w:pPr>
      <w:r>
        <w:rPr>
          <w:rFonts w:ascii="Arial" w:hAnsi="Arial" w:cs="Arial" w:eastAsia="Arial"/>
          <w:b/>
          <w:i w:val="0"/>
          <w:color w:val="1F4E78"/>
          <w:sz w:val="28"/>
        </w:rPr>
        <w:t>2. Overall Status</w:t>
      </w:r>
    </w:p>
    <w:tbl>
      <w:tblPr>
        <w:tblW w:w="9638" w:type="dxa"/>
        <w:tblLayout w:type="fixed"/>
      </w:tblPr>
      <w:tblGrid>
        <w:gridCol w:w="1349"/>
        <w:gridCol w:w="1156"/>
        <w:gridCol w:w="7133"/>
      </w:tblGrid>
      <w:tr>
        <w:trPr>
          <w:cantSplit/>
          <w:tblHeader/>
        </w:trPr>
        <w:tc>
          <w:tcPr>
            <w:tcW w:w="1349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1F4E78"/>
            <w:tcMar>
              <w:top w:w="60" w:type="dxa"/>
              <w:left w:w="100" w:type="dxa"/>
              <w:bottom w:w="60" w:type="dxa"/>
              <w:right w:w="100" w:type="dxa"/>
            </w:tcMar>
          </w:tcPr>
          <w:p>
            <w:pPr>
              <w:keepNext/>
              <w:spacing w:before="0" w:after="20" w:line="252" w:lineRule="auto"/>
            </w:pPr>
            <w:r/>
            <w:r>
              <w:rPr>
                <w:rFonts w:ascii="Arial" w:hAnsi="Arial" w:cs="Arial" w:eastAsia="Arial"/>
                <w:b/>
                <w:i w:val="0"/>
                <w:color w:val="FFFFFF"/>
                <w:sz w:val="18"/>
              </w:rPr>
              <w:t>Dimension</w:t>
            </w:r>
          </w:p>
        </w:tc>
        <w:tc>
          <w:tcPr>
            <w:tcW w:w="115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1F4E78"/>
            <w:tcMar>
              <w:top w:w="60" w:type="dxa"/>
              <w:left w:w="100" w:type="dxa"/>
              <w:bottom w:w="60" w:type="dxa"/>
              <w:right w:w="100" w:type="dxa"/>
            </w:tcMar>
          </w:tcPr>
          <w:p>
            <w:pPr>
              <w:keepNext/>
              <w:spacing w:before="0" w:after="20" w:line="252" w:lineRule="auto"/>
            </w:pPr>
            <w:r/>
            <w:r>
              <w:rPr>
                <w:rFonts w:ascii="Arial" w:hAnsi="Arial" w:cs="Arial" w:eastAsia="Arial"/>
                <w:b/>
                <w:i w:val="0"/>
                <w:color w:val="FFFFFF"/>
                <w:sz w:val="18"/>
              </w:rPr>
              <w:t>Status</w:t>
            </w:r>
          </w:p>
        </w:tc>
        <w:tc>
          <w:tcPr>
            <w:tcW w:w="713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1F4E78"/>
            <w:tcMar>
              <w:top w:w="60" w:type="dxa"/>
              <w:left w:w="100" w:type="dxa"/>
              <w:bottom w:w="60" w:type="dxa"/>
              <w:right w:w="100" w:type="dxa"/>
            </w:tcMar>
          </w:tcPr>
          <w:p>
            <w:pPr>
              <w:keepNext/>
              <w:spacing w:before="0" w:after="20" w:line="252" w:lineRule="auto"/>
            </w:pPr>
            <w:r/>
            <w:r>
              <w:rPr>
                <w:rFonts w:ascii="Arial" w:hAnsi="Arial" w:cs="Arial" w:eastAsia="Arial"/>
                <w:b/>
                <w:i w:val="0"/>
                <w:color w:val="FFFFFF"/>
                <w:sz w:val="18"/>
              </w:rPr>
              <w:t>Notes</w:t>
            </w:r>
          </w:p>
        </w:tc>
      </w:tr>
      <w:tr>
        <w:trPr>
          <w:cantSplit/>
        </w:trPr>
        <w:tc>
          <w:tcPr>
            <w:tcW w:w="1349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>
            <w:pPr>
              <w:spacing w:before="0" w:after="20" w:line="252" w:lineRule="auto"/>
            </w:pPr>
            <w:r/>
            <w:r>
              <w:rPr>
                <w:rFonts w:ascii="Arial" w:hAnsi="Arial" w:cs="Arial" w:eastAsia="Arial"/>
                <w:b w:val="0"/>
                <w:i w:val="0"/>
                <w:color w:val="262626"/>
                <w:sz w:val="18"/>
              </w:rPr>
              <w:t>Schedule</w:t>
            </w:r>
          </w:p>
        </w:tc>
        <w:tc>
          <w:tcPr>
            <w:tcW w:w="115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>
            <w:pPr>
              <w:spacing w:before="0" w:after="20" w:line="252" w:lineRule="auto"/>
            </w:pPr>
            <w:r/>
            <w:r>
              <w:rPr>
                <w:rFonts w:ascii="Arial" w:hAnsi="Arial" w:cs="Arial" w:eastAsia="Arial"/>
                <w:b w:val="0"/>
                <w:i w:val="0"/>
                <w:color w:val="262626"/>
                <w:sz w:val="18"/>
              </w:rPr>
              <w:t>Amber</w:t>
            </w:r>
          </w:p>
        </w:tc>
        <w:tc>
          <w:tcPr>
            <w:tcW w:w="713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>
            <w:pPr>
              <w:spacing w:before="0" w:after="20" w:line="252" w:lineRule="auto"/>
            </w:pPr>
            <w:r/>
            <w:r>
              <w:rPr>
                <w:rFonts w:ascii="Arial" w:hAnsi="Arial" w:cs="Arial" w:eastAsia="Arial"/>
                <w:b w:val="0"/>
                <w:i w:val="0"/>
                <w:color w:val="262626"/>
                <w:sz w:val="18"/>
              </w:rPr>
              <w:t>UAT cycle 1 ran 8 to 12 June after CR-001 moved it by five working days. Go-live on 14 July holds but float is used. If DEC-09 or DEC-01 slip past 19 June, go-live moves one week for each week of delay (RISK-03).</w:t>
            </w:r>
          </w:p>
        </w:tc>
      </w:tr>
      <w:tr>
        <w:trPr>
          <w:cantSplit/>
        </w:trPr>
        <w:tc>
          <w:tcPr>
            <w:tcW w:w="1349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2F5F9"/>
            <w:tcMar>
              <w:top w:w="60" w:type="dxa"/>
              <w:left w:w="100" w:type="dxa"/>
              <w:bottom w:w="60" w:type="dxa"/>
              <w:right w:w="100" w:type="dxa"/>
            </w:tcMar>
          </w:tcPr>
          <w:p>
            <w:pPr>
              <w:spacing w:before="0" w:after="20" w:line="252" w:lineRule="auto"/>
            </w:pPr>
            <w:r/>
            <w:r>
              <w:rPr>
                <w:rFonts w:ascii="Arial" w:hAnsi="Arial" w:cs="Arial" w:eastAsia="Arial"/>
                <w:b w:val="0"/>
                <w:i w:val="0"/>
                <w:color w:val="262626"/>
                <w:sz w:val="18"/>
              </w:rPr>
              <w:t>Budget</w:t>
            </w:r>
          </w:p>
        </w:tc>
        <w:tc>
          <w:tcPr>
            <w:tcW w:w="115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2F5F9"/>
            <w:tcMar>
              <w:top w:w="60" w:type="dxa"/>
              <w:left w:w="100" w:type="dxa"/>
              <w:bottom w:w="60" w:type="dxa"/>
              <w:right w:w="100" w:type="dxa"/>
            </w:tcMar>
          </w:tcPr>
          <w:p>
            <w:pPr>
              <w:spacing w:before="0" w:after="20" w:line="252" w:lineRule="auto"/>
            </w:pPr>
            <w:r/>
            <w:r>
              <w:rPr>
                <w:rFonts w:ascii="Arial" w:hAnsi="Arial" w:cs="Arial" w:eastAsia="Arial"/>
                <w:b w:val="0"/>
                <w:i w:val="0"/>
                <w:color w:val="262626"/>
                <w:sz w:val="18"/>
              </w:rPr>
              <w:t>Green</w:t>
            </w:r>
          </w:p>
        </w:tc>
        <w:tc>
          <w:tcPr>
            <w:tcW w:w="713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2F5F9"/>
            <w:tcMar>
              <w:top w:w="60" w:type="dxa"/>
              <w:left w:w="100" w:type="dxa"/>
              <w:bottom w:w="60" w:type="dxa"/>
              <w:right w:w="100" w:type="dxa"/>
            </w:tcMar>
          </w:tcPr>
          <w:p>
            <w:pPr>
              <w:spacing w:before="0" w:after="20" w:line="252" w:lineRule="auto"/>
            </w:pPr>
            <w:r/>
            <w:r>
              <w:rPr>
                <w:rFonts w:ascii="Arial" w:hAnsi="Arial" w:cs="Arial" w:eastAsia="Arial"/>
                <w:b w:val="0"/>
                <w:i w:val="0"/>
                <w:color w:val="262626"/>
                <w:sz w:val="18"/>
              </w:rPr>
              <w:t>Spend to date £268,400 against £281,000 planned. Forecast at completion £401,000 against £420,000 approved. CR-001 (£11,700) came from contingency, leaving £23,300.</w:t>
            </w:r>
          </w:p>
        </w:tc>
      </w:tr>
      <w:tr>
        <w:trPr>
          <w:cantSplit/>
        </w:trPr>
        <w:tc>
          <w:tcPr>
            <w:tcW w:w="1349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>
            <w:pPr>
              <w:spacing w:before="0" w:after="20" w:line="252" w:lineRule="auto"/>
            </w:pPr>
            <w:r/>
            <w:r>
              <w:rPr>
                <w:rFonts w:ascii="Arial" w:hAnsi="Arial" w:cs="Arial" w:eastAsia="Arial"/>
                <w:b w:val="0"/>
                <w:i w:val="0"/>
                <w:color w:val="262626"/>
                <w:sz w:val="18"/>
              </w:rPr>
              <w:t>Scope</w:t>
            </w:r>
          </w:p>
        </w:tc>
        <w:tc>
          <w:tcPr>
            <w:tcW w:w="115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>
            <w:pPr>
              <w:spacing w:before="0" w:after="20" w:line="252" w:lineRule="auto"/>
            </w:pPr>
            <w:r/>
            <w:r>
              <w:rPr>
                <w:rFonts w:ascii="Arial" w:hAnsi="Arial" w:cs="Arial" w:eastAsia="Arial"/>
                <w:b w:val="0"/>
                <w:i w:val="0"/>
                <w:color w:val="262626"/>
                <w:sz w:val="18"/>
              </w:rPr>
              <w:t>Amber</w:t>
            </w:r>
          </w:p>
        </w:tc>
        <w:tc>
          <w:tcPr>
            <w:tcW w:w="713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>
            <w:pPr>
              <w:spacing w:before="0" w:after="20" w:line="252" w:lineRule="auto"/>
            </w:pPr>
            <w:r/>
            <w:r>
              <w:rPr>
                <w:rFonts w:ascii="Arial" w:hAnsi="Arial" w:cs="Arial" w:eastAsia="Arial"/>
                <w:b w:val="0"/>
                <w:i w:val="0"/>
                <w:color w:val="262626"/>
                <w:sz w:val="18"/>
              </w:rPr>
              <w:t>20 requirements: 16 Approved (BL-02), 3 Under Review (REQ-001, 002, 005), 1 Draft (REQ-004). REQ-004 is a Release 2 candidate unless OQ-006 is answered by 26 June.</w:t>
            </w:r>
          </w:p>
        </w:tc>
      </w:tr>
      <w:tr>
        <w:trPr>
          <w:cantSplit/>
        </w:trPr>
        <w:tc>
          <w:tcPr>
            <w:tcW w:w="1349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2F5F9"/>
            <w:tcMar>
              <w:top w:w="60" w:type="dxa"/>
              <w:left w:w="100" w:type="dxa"/>
              <w:bottom w:w="60" w:type="dxa"/>
              <w:right w:w="100" w:type="dxa"/>
            </w:tcMar>
          </w:tcPr>
          <w:p>
            <w:pPr>
              <w:spacing w:before="0" w:after="20" w:line="252" w:lineRule="auto"/>
            </w:pPr>
            <w:r/>
            <w:r>
              <w:rPr>
                <w:rFonts w:ascii="Arial" w:hAnsi="Arial" w:cs="Arial" w:eastAsia="Arial"/>
                <w:b w:val="0"/>
                <w:i w:val="0"/>
                <w:color w:val="262626"/>
                <w:sz w:val="18"/>
              </w:rPr>
              <w:t>Resources</w:t>
            </w:r>
          </w:p>
        </w:tc>
        <w:tc>
          <w:tcPr>
            <w:tcW w:w="115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2F5F9"/>
            <w:tcMar>
              <w:top w:w="60" w:type="dxa"/>
              <w:left w:w="100" w:type="dxa"/>
              <w:bottom w:w="60" w:type="dxa"/>
              <w:right w:w="100" w:type="dxa"/>
            </w:tcMar>
          </w:tcPr>
          <w:p>
            <w:pPr>
              <w:spacing w:before="0" w:after="20" w:line="252" w:lineRule="auto"/>
            </w:pPr>
            <w:r/>
            <w:r>
              <w:rPr>
                <w:rFonts w:ascii="Arial" w:hAnsi="Arial" w:cs="Arial" w:eastAsia="Arial"/>
                <w:b w:val="0"/>
                <w:i w:val="0"/>
                <w:color w:val="262626"/>
                <w:sz w:val="18"/>
              </w:rPr>
              <w:t>Green</w:t>
            </w:r>
          </w:p>
        </w:tc>
        <w:tc>
          <w:tcPr>
            <w:tcW w:w="713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2F5F9"/>
            <w:tcMar>
              <w:top w:w="60" w:type="dxa"/>
              <w:left w:w="100" w:type="dxa"/>
              <w:bottom w:w="60" w:type="dxa"/>
              <w:right w:w="100" w:type="dxa"/>
            </w:tcMar>
          </w:tcPr>
          <w:p>
            <w:pPr>
              <w:spacing w:before="0" w:after="20" w:line="252" w:lineRule="auto"/>
            </w:pPr>
            <w:r/>
            <w:r>
              <w:rPr>
                <w:rFonts w:ascii="Arial" w:hAnsi="Arial" w:cs="Arial" w:eastAsia="Arial"/>
                <w:b w:val="0"/>
                <w:i w:val="0"/>
                <w:color w:val="262626"/>
                <w:sz w:val="18"/>
              </w:rPr>
              <w:t>UAT delegates Sam Whitaker and Zoe Barrett were available for cycle 1; release for cycle 2 is not yet confirmed (RISK-05). The Security Owner's time is committed on 17 to 19 June (ISS-03).</w:t>
            </w:r>
          </w:p>
        </w:tc>
      </w:tr>
      <w:tr>
        <w:trPr>
          <w:cantSplit/>
        </w:trPr>
        <w:tc>
          <w:tcPr>
            <w:tcW w:w="1349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>
            <w:pPr>
              <w:spacing w:before="0" w:after="20" w:line="252" w:lineRule="auto"/>
            </w:pPr>
            <w:r/>
            <w:r>
              <w:rPr>
                <w:rFonts w:ascii="Arial" w:hAnsi="Arial" w:cs="Arial" w:eastAsia="Arial"/>
                <w:b w:val="0"/>
                <w:i w:val="0"/>
                <w:color w:val="262626"/>
                <w:sz w:val="18"/>
              </w:rPr>
              <w:t>Quality</w:t>
            </w:r>
          </w:p>
        </w:tc>
        <w:tc>
          <w:tcPr>
            <w:tcW w:w="115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>
            <w:pPr>
              <w:spacing w:before="0" w:after="20" w:line="252" w:lineRule="auto"/>
            </w:pPr>
            <w:r/>
            <w:r>
              <w:rPr>
                <w:rFonts w:ascii="Arial" w:hAnsi="Arial" w:cs="Arial" w:eastAsia="Arial"/>
                <w:b w:val="0"/>
                <w:i w:val="0"/>
                <w:color w:val="262626"/>
                <w:sz w:val="18"/>
              </w:rPr>
              <w:t>Amber</w:t>
            </w:r>
          </w:p>
        </w:tc>
        <w:tc>
          <w:tcPr>
            <w:tcW w:w="713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>
            <w:pPr>
              <w:spacing w:before="0" w:after="20" w:line="252" w:lineRule="auto"/>
            </w:pPr>
            <w:r/>
            <w:r>
              <w:rPr>
                <w:rFonts w:ascii="Arial" w:hAnsi="Arial" w:cs="Arial" w:eastAsia="Arial"/>
                <w:b w:val="0"/>
                <w:i w:val="0"/>
                <w:color w:val="262626"/>
                <w:sz w:val="18"/>
              </w:rPr>
              <w:t>5 outstanding defects: 3 High (DEF-001, 002, 004), 2 Medium (DEF-003, 007); 2 closed (DEF-005, 006). UAT sign-off is Deferred: criteria not met, with 3 in-scope tests not executed, 3 High defects outstanding and a pass rate of 81% against 95% required (GOV-04, gate G3).</w:t>
            </w:r>
          </w:p>
        </w:tc>
      </w:tr>
    </w:tbl>
    <w:p>
      <w:pPr>
        <w:spacing w:after="80" w:before="0"/>
      </w:pPr>
    </w:p>
    <w:p>
      <w:pPr>
        <w:spacing w:after="120"/>
      </w:pPr>
      <w:r>
        <w:rPr>
          <w:rFonts w:ascii="Arial" w:hAnsi="Arial" w:cs="Arial" w:eastAsia="Arial"/>
          <w:b/>
          <w:i w:val="0"/>
          <w:color w:val="262626"/>
          <w:sz w:val="20"/>
        </w:rPr>
        <w:t xml:space="preserve">RAG basis (template section 2.1): </w:t>
      </w:r>
      <w:r>
        <w:rPr>
          <w:rFonts w:ascii="Arial" w:hAnsi="Arial" w:cs="Arial" w:eastAsia="Arial"/>
          <w:b w:val="0"/>
          <w:i w:val="0"/>
          <w:color w:val="262626"/>
          <w:sz w:val="20"/>
        </w:rPr>
        <w:t xml:space="preserve">Schedule Amber, float is used up and a recovery plan exists; Budget Green, forecast at completion is 4.5% under the approved £420,000; Scope Amber, DEC-08 is overdue and holds REQ-005; Resources Green, named people are confirmed for the next 2 weeks; Quality Amber, High defects are outstanding with fix dates inside the plan. Overall Amber is the worst dimension.</w:t>
      </w:r>
    </w:p>
    <w:p>
      <w:pPr>
        <w:pStyle w:val="Heading1"/>
      </w:pPr>
      <w:r>
        <w:rPr>
          <w:rFonts w:ascii="Arial" w:hAnsi="Arial" w:cs="Arial" w:eastAsia="Arial"/>
          <w:b/>
          <w:i w:val="0"/>
          <w:color w:val="1F4E78"/>
          <w:sz w:val="28"/>
        </w:rPr>
        <w:t>3. Key Achievements This Period</w:t>
      </w:r>
    </w:p>
    <w:p>
      <w:pPr>
        <w:pStyle w:val="ListBullet"/>
      </w:pPr>
      <w:r>
        <w:rPr>
          <w:rFonts w:ascii="Arial" w:hAnsi="Arial" w:cs="Arial" w:eastAsia="Arial"/>
          <w:b w:val="0"/>
          <w:i w:val="0"/>
          <w:color w:val="262626"/>
          <w:sz w:val="20"/>
        </w:rPr>
        <w:t>Completed UAT cycle 1: 35 tests designed, 26 executed, 2 Blocked, 7 Not run; 7 defects raised and linked to their tests.</w:t>
      </w:r>
    </w:p>
    <w:p>
      <w:pPr>
        <w:pStyle w:val="ListBullet"/>
      </w:pPr>
      <w:r>
        <w:rPr>
          <w:rFonts w:ascii="Arial" w:hAnsi="Arial" w:cs="Arial" w:eastAsia="Arial"/>
          <w:b w:val="0"/>
          <w:i w:val="0"/>
          <w:color w:val="262626"/>
          <w:sz w:val="20"/>
        </w:rPr>
        <w:t>Assessed and approved CR-001 in five working days and issued baseline BL-02 on 22 May with five requirements at v2.</w:t>
      </w:r>
    </w:p>
    <w:p>
      <w:pPr>
        <w:pStyle w:val="ListBullet"/>
      </w:pPr>
      <w:r>
        <w:rPr>
          <w:rFonts w:ascii="Arial" w:hAnsi="Arial" w:cs="Arial" w:eastAsia="Arial"/>
          <w:b w:val="0"/>
          <w:i w:val="0"/>
          <w:color w:val="262626"/>
          <w:sz w:val="20"/>
        </w:rPr>
        <w:t>Closed six of the twelve open questions in FSF-13 (OQ-004, OQ-007, OQ-008, OQ-009, OQ-010, OQ-012), each answered by a named decision (DEC-06, DEC-03, DEC-04, DEC-02, DEC-07, DEC-10).</w:t>
      </w:r>
    </w:p>
    <w:p>
      <w:pPr>
        <w:pStyle w:val="ListBullet"/>
      </w:pPr>
      <w:r>
        <w:rPr>
          <w:rFonts w:ascii="Arial" w:hAnsi="Arial" w:cs="Arial" w:eastAsia="Arial"/>
          <w:b w:val="0"/>
          <w:i w:val="0"/>
          <w:color w:val="262626"/>
          <w:sz w:val="20"/>
        </w:rPr>
        <w:t>Closed two defects found in cycle 1 within three days, including a reset-request timing leak (DEF-006).</w:t>
      </w:r>
    </w:p>
    <w:p>
      <w:pPr>
        <w:pStyle w:val="Heading1"/>
      </w:pPr>
      <w:r>
        <w:rPr>
          <w:rFonts w:ascii="Arial" w:hAnsi="Arial" w:cs="Arial" w:eastAsia="Arial"/>
          <w:b/>
          <w:i w:val="0"/>
          <w:color w:val="1F4E78"/>
          <w:sz w:val="28"/>
        </w:rPr>
        <w:t>4. Issues &amp; Blockers</w:t>
      </w:r>
    </w:p>
    <w:tbl>
      <w:tblPr>
        <w:tblW w:w="9638" w:type="dxa"/>
        <w:tblLayout w:type="fixed"/>
      </w:tblPr>
      <w:tblGrid>
        <w:gridCol w:w="867"/>
        <w:gridCol w:w="4337"/>
        <w:gridCol w:w="1927"/>
        <w:gridCol w:w="1349"/>
        <w:gridCol w:w="1158"/>
      </w:tblGrid>
      <w:tr>
        <w:trPr>
          <w:cantSplit/>
          <w:tblHeader/>
        </w:trPr>
        <w:tc>
          <w:tcPr>
            <w:tcW w:w="86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1F4E78"/>
            <w:tcMar>
              <w:top w:w="60" w:type="dxa"/>
              <w:left w:w="100" w:type="dxa"/>
              <w:bottom w:w="60" w:type="dxa"/>
              <w:right w:w="100" w:type="dxa"/>
            </w:tcMar>
          </w:tcPr>
          <w:p>
            <w:pPr>
              <w:keepNext/>
              <w:spacing w:before="0" w:after="20" w:line="252" w:lineRule="auto"/>
            </w:pPr>
            <w:r/>
            <w:r>
              <w:rPr>
                <w:rFonts w:ascii="Arial" w:hAnsi="Arial" w:cs="Arial" w:eastAsia="Arial"/>
                <w:b/>
                <w:i w:val="0"/>
                <w:color w:val="FFFFFF"/>
                <w:sz w:val="18"/>
              </w:rPr>
              <w:t>ID</w:t>
            </w:r>
          </w:p>
        </w:tc>
        <w:tc>
          <w:tcPr>
            <w:tcW w:w="433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1F4E78"/>
            <w:tcMar>
              <w:top w:w="60" w:type="dxa"/>
              <w:left w:w="100" w:type="dxa"/>
              <w:bottom w:w="60" w:type="dxa"/>
              <w:right w:w="100" w:type="dxa"/>
            </w:tcMar>
          </w:tcPr>
          <w:p>
            <w:pPr>
              <w:keepNext/>
              <w:spacing w:before="0" w:after="20" w:line="252" w:lineRule="auto"/>
            </w:pPr>
            <w:r/>
            <w:r>
              <w:rPr>
                <w:rFonts w:ascii="Arial" w:hAnsi="Arial" w:cs="Arial" w:eastAsia="Arial"/>
                <w:b/>
                <w:i w:val="0"/>
                <w:color w:val="FFFFFF"/>
                <w:sz w:val="18"/>
              </w:rPr>
              <w:t>Description</w:t>
            </w:r>
          </w:p>
        </w:tc>
        <w:tc>
          <w:tcPr>
            <w:tcW w:w="192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1F4E78"/>
            <w:tcMar>
              <w:top w:w="60" w:type="dxa"/>
              <w:left w:w="100" w:type="dxa"/>
              <w:bottom w:w="60" w:type="dxa"/>
              <w:right w:w="100" w:type="dxa"/>
            </w:tcMar>
          </w:tcPr>
          <w:p>
            <w:pPr>
              <w:keepNext/>
              <w:spacing w:before="0" w:after="20" w:line="252" w:lineRule="auto"/>
            </w:pPr>
            <w:r/>
            <w:r>
              <w:rPr>
                <w:rFonts w:ascii="Arial" w:hAnsi="Arial" w:cs="Arial" w:eastAsia="Arial"/>
                <w:b/>
                <w:i w:val="0"/>
                <w:color w:val="FFFFFF"/>
                <w:sz w:val="18"/>
              </w:rPr>
              <w:t>Owner</w:t>
            </w:r>
          </w:p>
        </w:tc>
        <w:tc>
          <w:tcPr>
            <w:tcW w:w="1349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1F4E78"/>
            <w:tcMar>
              <w:top w:w="60" w:type="dxa"/>
              <w:left w:w="100" w:type="dxa"/>
              <w:bottom w:w="60" w:type="dxa"/>
              <w:right w:w="100" w:type="dxa"/>
            </w:tcMar>
          </w:tcPr>
          <w:p>
            <w:pPr>
              <w:keepNext/>
              <w:spacing w:before="0" w:after="20" w:line="252" w:lineRule="auto"/>
            </w:pPr>
            <w:r/>
            <w:r>
              <w:rPr>
                <w:rFonts w:ascii="Arial" w:hAnsi="Arial" w:cs="Arial" w:eastAsia="Arial"/>
                <w:b/>
                <w:i w:val="0"/>
                <w:color w:val="FFFFFF"/>
                <w:sz w:val="18"/>
              </w:rPr>
              <w:t>Target Date</w:t>
            </w:r>
          </w:p>
        </w:tc>
        <w:tc>
          <w:tcPr>
            <w:tcW w:w="115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1F4E78"/>
            <w:tcMar>
              <w:top w:w="60" w:type="dxa"/>
              <w:left w:w="100" w:type="dxa"/>
              <w:bottom w:w="60" w:type="dxa"/>
              <w:right w:w="100" w:type="dxa"/>
            </w:tcMar>
          </w:tcPr>
          <w:p>
            <w:pPr>
              <w:keepNext/>
              <w:spacing w:before="0" w:after="20" w:line="252" w:lineRule="auto"/>
            </w:pPr>
            <w:r/>
            <w:r>
              <w:rPr>
                <w:rFonts w:ascii="Arial" w:hAnsi="Arial" w:cs="Arial" w:eastAsia="Arial"/>
                <w:b/>
                <w:i w:val="0"/>
                <w:color w:val="FFFFFF"/>
                <w:sz w:val="18"/>
              </w:rPr>
              <w:t>Status</w:t>
            </w:r>
          </w:p>
        </w:tc>
      </w:tr>
      <w:tr>
        <w:trPr>
          <w:cantSplit/>
        </w:trPr>
        <w:tc>
          <w:tcPr>
            <w:tcW w:w="86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>
            <w:pPr>
              <w:spacing w:before="0" w:after="20" w:line="252" w:lineRule="auto"/>
            </w:pPr>
            <w:r/>
            <w:r>
              <w:rPr>
                <w:rFonts w:ascii="Arial" w:hAnsi="Arial" w:cs="Arial" w:eastAsia="Arial"/>
                <w:b w:val="0"/>
                <w:i w:val="0"/>
                <w:color w:val="262626"/>
                <w:sz w:val="18"/>
              </w:rPr>
              <w:t>ISS-01</w:t>
            </w:r>
          </w:p>
        </w:tc>
        <w:tc>
          <w:tcPr>
            <w:tcW w:w="433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>
            <w:pPr>
              <w:spacing w:before="0" w:after="20" w:line="252" w:lineRule="auto"/>
            </w:pPr>
            <w:r/>
            <w:r>
              <w:rPr>
                <w:rFonts w:ascii="Arial" w:hAnsi="Arial" w:cs="Arial" w:eastAsia="Arial"/>
                <w:b w:val="0"/>
                <w:i w:val="0"/>
                <w:color w:val="262626"/>
                <w:sz w:val="18"/>
              </w:rPr>
              <w:t xml:space="preserve">UAT data has no Suspended-account scenarios, so T-021 is Blocked. Fresh synthetic extract requested. Waived for cycle 1 under DEC-13 (8 June); closes before cycle 2.</w:t>
            </w:r>
          </w:p>
        </w:tc>
        <w:tc>
          <w:tcPr>
            <w:tcW w:w="192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>
            <w:pPr>
              <w:spacing w:before="0" w:after="20" w:line="252" w:lineRule="auto"/>
            </w:pPr>
            <w:r/>
            <w:r>
              <w:rPr>
                <w:rFonts w:ascii="Arial" w:hAnsi="Arial" w:cs="Arial" w:eastAsia="Arial"/>
                <w:b w:val="0"/>
                <w:i w:val="0"/>
                <w:color w:val="262626"/>
                <w:sz w:val="18"/>
              </w:rPr>
              <w:t>Ruth Ellison, Test Lead</w:t>
            </w:r>
          </w:p>
        </w:tc>
        <w:tc>
          <w:tcPr>
            <w:tcW w:w="1349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>
            <w:pPr>
              <w:spacing w:before="0" w:after="20" w:line="252" w:lineRule="auto"/>
            </w:pPr>
            <w:r/>
            <w:r>
              <w:rPr>
                <w:rFonts w:ascii="Arial" w:hAnsi="Arial" w:cs="Arial" w:eastAsia="Arial"/>
                <w:b w:val="0"/>
                <w:i w:val="0"/>
                <w:color w:val="262626"/>
                <w:sz w:val="18"/>
              </w:rPr>
              <w:t>17 June 2026</w:t>
            </w:r>
          </w:p>
        </w:tc>
        <w:tc>
          <w:tcPr>
            <w:tcW w:w="115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>
            <w:pPr>
              <w:spacing w:before="0" w:after="20" w:line="252" w:lineRule="auto"/>
            </w:pPr>
            <w:r/>
            <w:r>
              <w:rPr>
                <w:rFonts w:ascii="Arial" w:hAnsi="Arial" w:cs="Arial" w:eastAsia="Arial"/>
                <w:b w:val="0"/>
                <w:i w:val="0"/>
                <w:color w:val="262626"/>
                <w:sz w:val="18"/>
              </w:rPr>
              <w:t>In Progress</w:t>
            </w:r>
          </w:p>
        </w:tc>
      </w:tr>
      <w:tr>
        <w:trPr>
          <w:cantSplit/>
        </w:trPr>
        <w:tc>
          <w:tcPr>
            <w:tcW w:w="86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2F5F9"/>
            <w:tcMar>
              <w:top w:w="60" w:type="dxa"/>
              <w:left w:w="100" w:type="dxa"/>
              <w:bottom w:w="60" w:type="dxa"/>
              <w:right w:w="100" w:type="dxa"/>
            </w:tcMar>
          </w:tcPr>
          <w:p>
            <w:pPr>
              <w:spacing w:before="0" w:after="20" w:line="252" w:lineRule="auto"/>
            </w:pPr>
            <w:r/>
            <w:r>
              <w:rPr>
                <w:rFonts w:ascii="Arial" w:hAnsi="Arial" w:cs="Arial" w:eastAsia="Arial"/>
                <w:b w:val="0"/>
                <w:i w:val="0"/>
                <w:color w:val="262626"/>
                <w:sz w:val="18"/>
              </w:rPr>
              <w:t>ISS-02</w:t>
            </w:r>
          </w:p>
        </w:tc>
        <w:tc>
          <w:tcPr>
            <w:tcW w:w="433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2F5F9"/>
            <w:tcMar>
              <w:top w:w="60" w:type="dxa"/>
              <w:left w:w="100" w:type="dxa"/>
              <w:bottom w:w="60" w:type="dxa"/>
              <w:right w:w="100" w:type="dxa"/>
            </w:tcMar>
          </w:tcPr>
          <w:p>
            <w:pPr>
              <w:spacing w:before="0" w:after="20" w:line="252" w:lineRule="auto"/>
            </w:pPr>
            <w:r/>
            <w:r>
              <w:rPr>
                <w:rFonts w:ascii="Arial" w:hAnsi="Arial" w:cs="Arial" w:eastAsia="Arial"/>
                <w:b w:val="0"/>
                <w:i w:val="0"/>
                <w:color w:val="262626"/>
                <w:sz w:val="18"/>
              </w:rPr>
              <w:t xml:space="preserve">The performance test environment is not available until 15 June, so T-024 (REQ-101) could not run in cycle 1. Environment booked for 15 to 19 June. Waived for cycle 1 under DEC-13 (8 June); T-024 runs before cycle 2.</w:t>
            </w:r>
          </w:p>
        </w:tc>
        <w:tc>
          <w:tcPr>
            <w:tcW w:w="192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2F5F9"/>
            <w:tcMar>
              <w:top w:w="60" w:type="dxa"/>
              <w:left w:w="100" w:type="dxa"/>
              <w:bottom w:w="60" w:type="dxa"/>
              <w:right w:w="100" w:type="dxa"/>
            </w:tcMar>
          </w:tcPr>
          <w:p>
            <w:pPr>
              <w:spacing w:before="0" w:after="20" w:line="252" w:lineRule="auto"/>
            </w:pPr>
            <w:r/>
            <w:r>
              <w:rPr>
                <w:rFonts w:ascii="Arial" w:hAnsi="Arial" w:cs="Arial" w:eastAsia="Arial"/>
                <w:b w:val="0"/>
                <w:i w:val="0"/>
                <w:color w:val="262626"/>
                <w:sz w:val="18"/>
              </w:rPr>
              <w:t>Callum Reid, Technical Lead</w:t>
            </w:r>
          </w:p>
        </w:tc>
        <w:tc>
          <w:tcPr>
            <w:tcW w:w="1349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2F5F9"/>
            <w:tcMar>
              <w:top w:w="60" w:type="dxa"/>
              <w:left w:w="100" w:type="dxa"/>
              <w:bottom w:w="60" w:type="dxa"/>
              <w:right w:w="100" w:type="dxa"/>
            </w:tcMar>
          </w:tcPr>
          <w:p>
            <w:pPr>
              <w:spacing w:before="0" w:after="20" w:line="252" w:lineRule="auto"/>
            </w:pPr>
            <w:r/>
            <w:r>
              <w:rPr>
                <w:rFonts w:ascii="Arial" w:hAnsi="Arial" w:cs="Arial" w:eastAsia="Arial"/>
                <w:b w:val="0"/>
                <w:i w:val="0"/>
                <w:color w:val="262626"/>
                <w:sz w:val="18"/>
              </w:rPr>
              <w:t>15 June 2026</w:t>
            </w:r>
          </w:p>
        </w:tc>
        <w:tc>
          <w:tcPr>
            <w:tcW w:w="115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2F5F9"/>
            <w:tcMar>
              <w:top w:w="60" w:type="dxa"/>
              <w:left w:w="100" w:type="dxa"/>
              <w:bottom w:w="60" w:type="dxa"/>
              <w:right w:w="100" w:type="dxa"/>
            </w:tcMar>
          </w:tcPr>
          <w:p>
            <w:pPr>
              <w:spacing w:before="0" w:after="20" w:line="252" w:lineRule="auto"/>
            </w:pPr>
            <w:r/>
            <w:r>
              <w:rPr>
                <w:rFonts w:ascii="Arial" w:hAnsi="Arial" w:cs="Arial" w:eastAsia="Arial"/>
                <w:b w:val="0"/>
                <w:i w:val="0"/>
                <w:color w:val="262626"/>
                <w:sz w:val="18"/>
              </w:rPr>
              <w:t>In Progress</w:t>
            </w:r>
          </w:p>
        </w:tc>
      </w:tr>
      <w:tr>
        <w:trPr>
          <w:cantSplit/>
        </w:trPr>
        <w:tc>
          <w:tcPr>
            <w:tcW w:w="86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>
            <w:pPr>
              <w:spacing w:before="0" w:after="20" w:line="252" w:lineRule="auto"/>
            </w:pPr>
            <w:r/>
            <w:r>
              <w:rPr>
                <w:rFonts w:ascii="Arial" w:hAnsi="Arial" w:cs="Arial" w:eastAsia="Arial"/>
                <w:b w:val="0"/>
                <w:i w:val="0"/>
                <w:color w:val="262626"/>
                <w:sz w:val="18"/>
              </w:rPr>
              <w:t>ISS-03</w:t>
            </w:r>
          </w:p>
        </w:tc>
        <w:tc>
          <w:tcPr>
            <w:tcW w:w="433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>
            <w:pPr>
              <w:spacing w:before="0" w:after="20" w:line="252" w:lineRule="auto"/>
            </w:pPr>
            <w:r/>
            <w:r>
              <w:rPr>
                <w:rFonts w:ascii="Arial" w:hAnsi="Arial" w:cs="Arial" w:eastAsia="Arial"/>
                <w:b w:val="0"/>
                <w:i w:val="0"/>
                <w:color w:val="262626"/>
                <w:sz w:val="18"/>
              </w:rPr>
              <w:t>Security Owner is committed on 17, 18 and 19 June (fraud review, Steering Group, DEC-01), leaving no slack.</w:t>
            </w:r>
          </w:p>
        </w:tc>
        <w:tc>
          <w:tcPr>
            <w:tcW w:w="192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>
            <w:pPr>
              <w:spacing w:before="0" w:after="20" w:line="252" w:lineRule="auto"/>
            </w:pPr>
            <w:r/>
            <w:r>
              <w:rPr>
                <w:rFonts w:ascii="Arial" w:hAnsi="Arial" w:cs="Arial" w:eastAsia="Arial"/>
                <w:b w:val="0"/>
                <w:i w:val="0"/>
                <w:color w:val="262626"/>
                <w:sz w:val="18"/>
              </w:rPr>
              <w:t>Kevin Marlow, Project Manager</w:t>
            </w:r>
          </w:p>
        </w:tc>
        <w:tc>
          <w:tcPr>
            <w:tcW w:w="1349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>
            <w:pPr>
              <w:spacing w:before="0" w:after="20" w:line="252" w:lineRule="auto"/>
            </w:pPr>
            <w:r/>
            <w:r>
              <w:rPr>
                <w:rFonts w:ascii="Arial" w:hAnsi="Arial" w:cs="Arial" w:eastAsia="Arial"/>
                <w:b w:val="0"/>
                <w:i w:val="0"/>
                <w:color w:val="262626"/>
                <w:sz w:val="18"/>
              </w:rPr>
              <w:t>15 June 2026</w:t>
            </w:r>
          </w:p>
        </w:tc>
        <w:tc>
          <w:tcPr>
            <w:tcW w:w="115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>
            <w:pPr>
              <w:spacing w:before="0" w:after="20" w:line="252" w:lineRule="auto"/>
            </w:pPr>
            <w:r/>
            <w:r>
              <w:rPr>
                <w:rFonts w:ascii="Arial" w:hAnsi="Arial" w:cs="Arial" w:eastAsia="Arial"/>
                <w:b w:val="0"/>
                <w:i w:val="0"/>
                <w:color w:val="262626"/>
                <w:sz w:val="18"/>
              </w:rPr>
              <w:t>Open</w:t>
            </w:r>
          </w:p>
        </w:tc>
      </w:tr>
      <w:tr>
        <w:trPr>
          <w:cantSplit/>
        </w:trPr>
        <w:tc>
          <w:tcPr>
            <w:tcW w:w="86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2F5F9"/>
            <w:tcMar>
              <w:top w:w="60" w:type="dxa"/>
              <w:left w:w="100" w:type="dxa"/>
              <w:bottom w:w="60" w:type="dxa"/>
              <w:right w:w="100" w:type="dxa"/>
            </w:tcMar>
          </w:tcPr>
          <w:p>
            <w:pPr>
              <w:spacing w:before="0" w:after="20" w:line="252" w:lineRule="auto"/>
            </w:pPr>
            <w:r/>
            <w:r>
              <w:rPr>
                <w:rFonts w:ascii="Arial" w:hAnsi="Arial" w:cs="Arial" w:eastAsia="Arial"/>
                <w:b w:val="0"/>
                <w:i w:val="0"/>
                <w:color w:val="262626"/>
                <w:sz w:val="18"/>
              </w:rPr>
              <w:t>DEP-01</w:t>
            </w:r>
          </w:p>
        </w:tc>
        <w:tc>
          <w:tcPr>
            <w:tcW w:w="433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2F5F9"/>
            <w:tcMar>
              <w:top w:w="60" w:type="dxa"/>
              <w:left w:w="100" w:type="dxa"/>
              <w:bottom w:w="60" w:type="dxa"/>
              <w:right w:w="100" w:type="dxa"/>
            </w:tcMar>
          </w:tcPr>
          <w:p>
            <w:pPr>
              <w:spacing w:before="0" w:after="20" w:line="252" w:lineRule="auto"/>
            </w:pPr>
            <w:r/>
            <w:r>
              <w:rPr>
                <w:rFonts w:ascii="Arial" w:hAnsi="Arial" w:cs="Arial" w:eastAsia="Arial"/>
                <w:b w:val="0"/>
                <w:i w:val="0"/>
                <w:color w:val="262626"/>
                <w:sz w:val="18"/>
              </w:rPr>
              <w:t>CRM stub with controllable failures for the retry and alert tests (T-031 Blocked; T-005 design). Resource clash with a CRM release on 15 June.</w:t>
            </w:r>
          </w:p>
        </w:tc>
        <w:tc>
          <w:tcPr>
            <w:tcW w:w="192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2F5F9"/>
            <w:tcMar>
              <w:top w:w="60" w:type="dxa"/>
              <w:left w:w="100" w:type="dxa"/>
              <w:bottom w:w="60" w:type="dxa"/>
              <w:right w:w="100" w:type="dxa"/>
            </w:tcMar>
          </w:tcPr>
          <w:p>
            <w:pPr>
              <w:spacing w:before="0" w:after="20" w:line="252" w:lineRule="auto"/>
            </w:pPr>
            <w:r/>
            <w:r>
              <w:rPr>
                <w:rFonts w:ascii="Arial" w:hAnsi="Arial" w:cs="Arial" w:eastAsia="Arial"/>
                <w:b w:val="0"/>
                <w:i w:val="0"/>
                <w:color w:val="262626"/>
                <w:sz w:val="18"/>
              </w:rPr>
              <w:t>Marcus Bell, CRM Owner</w:t>
            </w:r>
          </w:p>
        </w:tc>
        <w:tc>
          <w:tcPr>
            <w:tcW w:w="1349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2F5F9"/>
            <w:tcMar>
              <w:top w:w="60" w:type="dxa"/>
              <w:left w:w="100" w:type="dxa"/>
              <w:bottom w:w="60" w:type="dxa"/>
              <w:right w:w="100" w:type="dxa"/>
            </w:tcMar>
          </w:tcPr>
          <w:p>
            <w:pPr>
              <w:spacing w:before="0" w:after="20" w:line="252" w:lineRule="auto"/>
            </w:pPr>
            <w:r/>
            <w:r>
              <w:rPr>
                <w:rFonts w:ascii="Arial" w:hAnsi="Arial" w:cs="Arial" w:eastAsia="Arial"/>
                <w:b w:val="0"/>
                <w:i w:val="0"/>
                <w:color w:val="262626"/>
                <w:sz w:val="18"/>
              </w:rPr>
              <w:t>16 June 2026</w:t>
            </w:r>
          </w:p>
        </w:tc>
        <w:tc>
          <w:tcPr>
            <w:tcW w:w="115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2F5F9"/>
            <w:tcMar>
              <w:top w:w="60" w:type="dxa"/>
              <w:left w:w="100" w:type="dxa"/>
              <w:bottom w:w="60" w:type="dxa"/>
              <w:right w:w="100" w:type="dxa"/>
            </w:tcMar>
          </w:tcPr>
          <w:p>
            <w:pPr>
              <w:spacing w:before="0" w:after="20" w:line="252" w:lineRule="auto"/>
            </w:pPr>
            <w:r/>
            <w:r>
              <w:rPr>
                <w:rFonts w:ascii="Arial" w:hAnsi="Arial" w:cs="Arial" w:eastAsia="Arial"/>
                <w:b w:val="0"/>
                <w:i w:val="0"/>
                <w:color w:val="262626"/>
                <w:sz w:val="18"/>
              </w:rPr>
              <w:t>At Risk</w:t>
            </w:r>
          </w:p>
        </w:tc>
      </w:tr>
    </w:tbl>
    <w:p>
      <w:pPr>
        <w:spacing w:after="80" w:before="0"/>
      </w:pPr>
    </w:p>
    <w:p>
      <w:pPr>
        <w:spacing w:after="120"/>
      </w:pPr>
      <w:r>
        <w:rPr>
          <w:rFonts w:ascii="Arial" w:hAnsi="Arial" w:cs="Arial" w:eastAsia="Arial"/>
          <w:b w:val="0"/>
          <w:i w:val="0"/>
          <w:color w:val="262626"/>
          <w:sz w:val="20"/>
        </w:rPr>
        <w:t>Open questions (from FSF-13 Summary): total 12 | percent closed 50% | overdue 1 (OQ-005, which blocks REQ-005; recorded against RISK-06 and RISK-03).</w:t>
      </w:r>
    </w:p>
    <w:p>
      <w:pPr>
        <w:pStyle w:val="Heading1"/>
      </w:pPr>
      <w:r>
        <w:rPr>
          <w:rFonts w:ascii="Arial" w:hAnsi="Arial" w:cs="Arial" w:eastAsia="Arial"/>
          <w:b/>
          <w:i w:val="0"/>
          <w:color w:val="1F4E78"/>
          <w:sz w:val="28"/>
        </w:rPr>
        <w:t>5. Risks</w:t>
      </w:r>
    </w:p>
    <w:p>
      <w:pPr>
        <w:spacing w:after="120"/>
      </w:pPr>
      <w:r>
        <w:rPr>
          <w:rFonts w:ascii="Arial" w:hAnsi="Arial" w:cs="Arial" w:eastAsia="Arial"/>
          <w:b w:val="0"/>
          <w:i w:val="0"/>
          <w:color w:val="262626"/>
          <w:sz w:val="20"/>
        </w:rPr>
        <w:t>Top five of nine active risks, ranked by residual score on the GOV-01 Dashboard. Three risks are Red before response (RISK-03, RISK-04, RISK-09); none is Red after response.</w:t>
      </w:r>
    </w:p>
    <w:tbl>
      <w:tblPr>
        <w:tblW w:w="9638" w:type="dxa"/>
        <w:tblLayout w:type="fixed"/>
      </w:tblPr>
      <w:tblGrid>
        <w:gridCol w:w="867"/>
        <w:gridCol w:w="3180"/>
        <w:gridCol w:w="1060"/>
        <w:gridCol w:w="867"/>
        <w:gridCol w:w="3664"/>
      </w:tblGrid>
      <w:tr>
        <w:trPr>
          <w:cantSplit/>
          <w:tblHeader/>
        </w:trPr>
        <w:tc>
          <w:tcPr>
            <w:tcW w:w="86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1F4E78"/>
            <w:tcMar>
              <w:top w:w="60" w:type="dxa"/>
              <w:left w:w="100" w:type="dxa"/>
              <w:bottom w:w="60" w:type="dxa"/>
              <w:right w:w="100" w:type="dxa"/>
            </w:tcMar>
          </w:tcPr>
          <w:p>
            <w:pPr>
              <w:keepNext/>
              <w:spacing w:before="0" w:after="20" w:line="252" w:lineRule="auto"/>
            </w:pPr>
            <w:r/>
            <w:r>
              <w:rPr>
                <w:rFonts w:ascii="Arial" w:hAnsi="Arial" w:cs="Arial" w:eastAsia="Arial"/>
                <w:b/>
                <w:i w:val="0"/>
                <w:color w:val="FFFFFF"/>
                <w:sz w:val="18"/>
              </w:rPr>
              <w:t>ID</w:t>
            </w:r>
          </w:p>
        </w:tc>
        <w:tc>
          <w:tcPr>
            <w:tcW w:w="31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1F4E78"/>
            <w:tcMar>
              <w:top w:w="60" w:type="dxa"/>
              <w:left w:w="100" w:type="dxa"/>
              <w:bottom w:w="60" w:type="dxa"/>
              <w:right w:w="100" w:type="dxa"/>
            </w:tcMar>
          </w:tcPr>
          <w:p>
            <w:pPr>
              <w:keepNext/>
              <w:spacing w:before="0" w:after="20" w:line="252" w:lineRule="auto"/>
            </w:pPr>
            <w:r/>
            <w:r>
              <w:rPr>
                <w:rFonts w:ascii="Arial" w:hAnsi="Arial" w:cs="Arial" w:eastAsia="Arial"/>
                <w:b/>
                <w:i w:val="0"/>
                <w:color w:val="FFFFFF"/>
                <w:sz w:val="18"/>
              </w:rPr>
              <w:t>Risk</w:t>
            </w:r>
          </w:p>
        </w:tc>
        <w:tc>
          <w:tcPr>
            <w:tcW w:w="106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1F4E78"/>
            <w:tcMar>
              <w:top w:w="60" w:type="dxa"/>
              <w:left w:w="100" w:type="dxa"/>
              <w:bottom w:w="60" w:type="dxa"/>
              <w:right w:w="100" w:type="dxa"/>
            </w:tcMar>
          </w:tcPr>
          <w:p>
            <w:pPr>
              <w:keepNext/>
              <w:spacing w:before="0" w:after="20" w:line="252" w:lineRule="auto"/>
            </w:pPr>
            <w:r/>
            <w:r>
              <w:rPr>
                <w:rFonts w:ascii="Arial" w:hAnsi="Arial" w:cs="Arial" w:eastAsia="Arial"/>
                <w:b/>
                <w:i w:val="0"/>
                <w:color w:val="FFFFFF"/>
                <w:sz w:val="18"/>
              </w:rPr>
              <w:t>Residual</w:t>
            </w:r>
          </w:p>
        </w:tc>
        <w:tc>
          <w:tcPr>
            <w:tcW w:w="86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1F4E78"/>
            <w:tcMar>
              <w:top w:w="60" w:type="dxa"/>
              <w:left w:w="100" w:type="dxa"/>
              <w:bottom w:w="60" w:type="dxa"/>
              <w:right w:w="100" w:type="dxa"/>
            </w:tcMar>
          </w:tcPr>
          <w:p>
            <w:pPr>
              <w:keepNext/>
              <w:spacing w:before="0" w:after="20" w:line="252" w:lineRule="auto"/>
            </w:pPr>
            <w:r/>
            <w:r>
              <w:rPr>
                <w:rFonts w:ascii="Arial" w:hAnsi="Arial" w:cs="Arial" w:eastAsia="Arial"/>
                <w:b/>
                <w:i w:val="0"/>
                <w:color w:val="FFFFFF"/>
                <w:sz w:val="18"/>
              </w:rPr>
              <w:t>Trend</w:t>
            </w:r>
          </w:p>
        </w:tc>
        <w:tc>
          <w:tcPr>
            <w:tcW w:w="366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1F4E78"/>
            <w:tcMar>
              <w:top w:w="60" w:type="dxa"/>
              <w:left w:w="100" w:type="dxa"/>
              <w:bottom w:w="60" w:type="dxa"/>
              <w:right w:w="100" w:type="dxa"/>
            </w:tcMar>
          </w:tcPr>
          <w:p>
            <w:pPr>
              <w:keepNext/>
              <w:spacing w:before="0" w:after="20" w:line="252" w:lineRule="auto"/>
            </w:pPr>
            <w:r/>
            <w:r>
              <w:rPr>
                <w:rFonts w:ascii="Arial" w:hAnsi="Arial" w:cs="Arial" w:eastAsia="Arial"/>
                <w:b/>
                <w:i w:val="0"/>
                <w:color w:val="FFFFFF"/>
                <w:sz w:val="18"/>
              </w:rPr>
              <w:t>Response and owner</w:t>
            </w:r>
          </w:p>
        </w:tc>
      </w:tr>
      <w:tr>
        <w:trPr>
          <w:cantSplit/>
        </w:trPr>
        <w:tc>
          <w:tcPr>
            <w:tcW w:w="86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>
            <w:pPr>
              <w:spacing w:before="0" w:after="20" w:line="252" w:lineRule="auto"/>
            </w:pPr>
            <w:r/>
            <w:r>
              <w:rPr>
                <w:rFonts w:ascii="Arial" w:hAnsi="Arial" w:cs="Arial" w:eastAsia="Arial"/>
                <w:b w:val="0"/>
                <w:i w:val="0"/>
                <w:color w:val="262626"/>
                <w:sz w:val="18"/>
              </w:rPr>
              <w:t>RISK-03</w:t>
            </w:r>
          </w:p>
        </w:tc>
        <w:tc>
          <w:tcPr>
            <w:tcW w:w="31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>
            <w:pPr>
              <w:spacing w:before="0" w:after="20" w:line="252" w:lineRule="auto"/>
            </w:pPr>
            <w:r/>
            <w:r>
              <w:rPr>
                <w:rFonts w:ascii="Arial" w:hAnsi="Arial" w:cs="Arial" w:eastAsia="Arial"/>
                <w:b w:val="0"/>
                <w:i w:val="0"/>
                <w:color w:val="262626"/>
                <w:sz w:val="18"/>
              </w:rPr>
              <w:t>DEC-01 and DEC-09 slip beyond 19 June, so REQ-001 and REQ-002 cannot be built and tested before go-live on 14 July.</w:t>
            </w:r>
          </w:p>
        </w:tc>
        <w:tc>
          <w:tcPr>
            <w:tcW w:w="106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>
            <w:pPr>
              <w:spacing w:before="0" w:after="20" w:line="252" w:lineRule="auto"/>
            </w:pPr>
            <w:r/>
            <w:r>
              <w:rPr>
                <w:rFonts w:ascii="Arial" w:hAnsi="Arial" w:cs="Arial" w:eastAsia="Arial"/>
                <w:b w:val="0"/>
                <w:i w:val="0"/>
                <w:color w:val="262626"/>
                <w:sz w:val="18"/>
              </w:rPr>
              <w:t>Amber (12)</w:t>
            </w:r>
          </w:p>
        </w:tc>
        <w:tc>
          <w:tcPr>
            <w:tcW w:w="86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>
            <w:pPr>
              <w:spacing w:before="0" w:after="20" w:line="252" w:lineRule="auto"/>
            </w:pPr>
            <w:r/>
            <w:r>
              <w:rPr>
                <w:rFonts w:ascii="Arial" w:hAnsi="Arial" w:cs="Arial" w:eastAsia="Arial"/>
                <w:b w:val="0"/>
                <w:i w:val="0"/>
                <w:color w:val="262626"/>
                <w:sz w:val="18"/>
              </w:rPr>
              <w:t>Stable</w:t>
            </w:r>
          </w:p>
        </w:tc>
        <w:tc>
          <w:tcPr>
            <w:tcW w:w="366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>
            <w:pPr>
              <w:spacing w:before="0" w:after="20" w:line="252" w:lineRule="auto"/>
            </w:pPr>
            <w:r/>
            <w:r>
              <w:rPr>
                <w:rFonts w:ascii="Arial" w:hAnsi="Arial" w:cs="Arial" w:eastAsia="Arial"/>
                <w:b w:val="0"/>
                <w:i w:val="0"/>
                <w:color w:val="262626"/>
                <w:sz w:val="18"/>
              </w:rPr>
              <w:t>Decision papers issued; fraud review 17 June; Steering Group 18 June. If a decision slips, go-live moves one week per week of delay, or REQ-001 and REQ-002 move to a second release. Escalate on 19 June. Kevin Marlow, Project Manager.</w:t>
            </w:r>
          </w:p>
        </w:tc>
      </w:tr>
      <w:tr>
        <w:trPr>
          <w:cantSplit/>
        </w:trPr>
        <w:tc>
          <w:tcPr>
            <w:tcW w:w="86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2F5F9"/>
            <w:tcMar>
              <w:top w:w="60" w:type="dxa"/>
              <w:left w:w="100" w:type="dxa"/>
              <w:bottom w:w="60" w:type="dxa"/>
              <w:right w:w="100" w:type="dxa"/>
            </w:tcMar>
          </w:tcPr>
          <w:p>
            <w:pPr>
              <w:spacing w:before="0" w:after="20" w:line="252" w:lineRule="auto"/>
            </w:pPr>
            <w:r/>
            <w:r>
              <w:rPr>
                <w:rFonts w:ascii="Arial" w:hAnsi="Arial" w:cs="Arial" w:eastAsia="Arial"/>
                <w:b w:val="0"/>
                <w:i w:val="0"/>
                <w:color w:val="262626"/>
                <w:sz w:val="18"/>
              </w:rPr>
              <w:t>RISK-09</w:t>
            </w:r>
          </w:p>
        </w:tc>
        <w:tc>
          <w:tcPr>
            <w:tcW w:w="31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2F5F9"/>
            <w:tcMar>
              <w:top w:w="60" w:type="dxa"/>
              <w:left w:w="100" w:type="dxa"/>
              <w:bottom w:w="60" w:type="dxa"/>
              <w:right w:w="100" w:type="dxa"/>
            </w:tcMar>
          </w:tcPr>
          <w:p>
            <w:pPr>
              <w:spacing w:before="0" w:after="20" w:line="252" w:lineRule="auto"/>
            </w:pPr>
            <w:r/>
            <w:r>
              <w:rPr>
                <w:rFonts w:ascii="Arial" w:hAnsi="Arial" w:cs="Arial" w:eastAsia="Arial"/>
                <w:b w:val="0"/>
                <w:i w:val="0"/>
                <w:color w:val="262626"/>
                <w:sz w:val="18"/>
              </w:rPr>
              <w:t>Go-live on 14 July has no float, which puts pressure on the exit and readiness gates.</w:t>
            </w:r>
          </w:p>
        </w:tc>
        <w:tc>
          <w:tcPr>
            <w:tcW w:w="106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2F5F9"/>
            <w:tcMar>
              <w:top w:w="60" w:type="dxa"/>
              <w:left w:w="100" w:type="dxa"/>
              <w:bottom w:w="60" w:type="dxa"/>
              <w:right w:w="100" w:type="dxa"/>
            </w:tcMar>
          </w:tcPr>
          <w:p>
            <w:pPr>
              <w:spacing w:before="0" w:after="20" w:line="252" w:lineRule="auto"/>
            </w:pPr>
            <w:r/>
            <w:r>
              <w:rPr>
                <w:rFonts w:ascii="Arial" w:hAnsi="Arial" w:cs="Arial" w:eastAsia="Arial"/>
                <w:b w:val="0"/>
                <w:i w:val="0"/>
                <w:color w:val="262626"/>
                <w:sz w:val="18"/>
              </w:rPr>
              <w:t>Amber (10)</w:t>
            </w:r>
          </w:p>
        </w:tc>
        <w:tc>
          <w:tcPr>
            <w:tcW w:w="86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2F5F9"/>
            <w:tcMar>
              <w:top w:w="60" w:type="dxa"/>
              <w:left w:w="100" w:type="dxa"/>
              <w:bottom w:w="60" w:type="dxa"/>
              <w:right w:w="100" w:type="dxa"/>
            </w:tcMar>
          </w:tcPr>
          <w:p>
            <w:pPr>
              <w:spacing w:before="0" w:after="20" w:line="252" w:lineRule="auto"/>
            </w:pPr>
            <w:r/>
            <w:r>
              <w:rPr>
                <w:rFonts w:ascii="Arial" w:hAnsi="Arial" w:cs="Arial" w:eastAsia="Arial"/>
                <w:b w:val="0"/>
                <w:i w:val="0"/>
                <w:color w:val="262626"/>
                <w:sz w:val="18"/>
              </w:rPr>
              <w:t>New</w:t>
            </w:r>
          </w:p>
        </w:tc>
        <w:tc>
          <w:tcPr>
            <w:tcW w:w="366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2F5F9"/>
            <w:tcMar>
              <w:top w:w="60" w:type="dxa"/>
              <w:left w:w="100" w:type="dxa"/>
              <w:bottom w:w="60" w:type="dxa"/>
              <w:right w:w="100" w:type="dxa"/>
            </w:tcMar>
          </w:tcPr>
          <w:p>
            <w:pPr>
              <w:spacing w:before="0" w:after="20" w:line="252" w:lineRule="auto"/>
            </w:pPr>
            <w:r/>
            <w:r>
              <w:rPr>
                <w:rFonts w:ascii="Arial" w:hAnsi="Arial" w:cs="Arial" w:eastAsia="Arial"/>
                <w:b w:val="0"/>
                <w:i w:val="0"/>
                <w:color w:val="262626"/>
                <w:sz w:val="18"/>
              </w:rPr>
              <w:t>No go-live until GOV-04 gates G3 and G4 are passed or the Executive Sponsor approves conditions. Amir Patel, Product Owner.</w:t>
            </w:r>
          </w:p>
        </w:tc>
      </w:tr>
      <w:tr>
        <w:trPr>
          <w:cantSplit/>
        </w:trPr>
        <w:tc>
          <w:tcPr>
            <w:tcW w:w="86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>
            <w:pPr>
              <w:spacing w:before="0" w:after="20" w:line="252" w:lineRule="auto"/>
            </w:pPr>
            <w:r/>
            <w:r>
              <w:rPr>
                <w:rFonts w:ascii="Arial" w:hAnsi="Arial" w:cs="Arial" w:eastAsia="Arial"/>
                <w:b w:val="0"/>
                <w:i w:val="0"/>
                <w:color w:val="262626"/>
                <w:sz w:val="18"/>
              </w:rPr>
              <w:t>RISK-04</w:t>
            </w:r>
          </w:p>
        </w:tc>
        <w:tc>
          <w:tcPr>
            <w:tcW w:w="31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>
            <w:pPr>
              <w:spacing w:before="0" w:after="20" w:line="252" w:lineRule="auto"/>
            </w:pPr>
            <w:r/>
            <w:r>
              <w:rPr>
                <w:rFonts w:ascii="Arial" w:hAnsi="Arial" w:cs="Arial" w:eastAsia="Arial"/>
                <w:b w:val="0"/>
                <w:i w:val="0"/>
                <w:color w:val="262626"/>
                <w:sz w:val="18"/>
              </w:rPr>
              <w:t>The identity-verification service is not chosen until DEC-09, so it may not be connected for the cycle 2 tests (T-001, T-009).</w:t>
            </w:r>
          </w:p>
        </w:tc>
        <w:tc>
          <w:tcPr>
            <w:tcW w:w="106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>
            <w:pPr>
              <w:spacing w:before="0" w:after="20" w:line="252" w:lineRule="auto"/>
            </w:pPr>
            <w:r/>
            <w:r>
              <w:rPr>
                <w:rFonts w:ascii="Arial" w:hAnsi="Arial" w:cs="Arial" w:eastAsia="Arial"/>
                <w:b w:val="0"/>
                <w:i w:val="0"/>
                <w:color w:val="262626"/>
                <w:sz w:val="18"/>
              </w:rPr>
              <w:t>Amber (9)</w:t>
            </w:r>
          </w:p>
        </w:tc>
        <w:tc>
          <w:tcPr>
            <w:tcW w:w="86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>
            <w:pPr>
              <w:spacing w:before="0" w:after="20" w:line="252" w:lineRule="auto"/>
            </w:pPr>
            <w:r/>
            <w:r>
              <w:rPr>
                <w:rFonts w:ascii="Arial" w:hAnsi="Arial" w:cs="Arial" w:eastAsia="Arial"/>
                <w:b w:val="0"/>
                <w:i w:val="0"/>
                <w:color w:val="262626"/>
                <w:sz w:val="18"/>
              </w:rPr>
              <w:t>New</w:t>
            </w:r>
          </w:p>
        </w:tc>
        <w:tc>
          <w:tcPr>
            <w:tcW w:w="366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>
            <w:pPr>
              <w:spacing w:before="0" w:after="20" w:line="252" w:lineRule="auto"/>
            </w:pPr>
            <w:r/>
            <w:r>
              <w:rPr>
                <w:rFonts w:ascii="Arial" w:hAnsi="Arial" w:cs="Arial" w:eastAsia="Arial"/>
                <w:b w:val="0"/>
                <w:i w:val="0"/>
                <w:color w:val="262626"/>
                <w:sz w:val="18"/>
              </w:rPr>
              <w:t>Shortlist two services before 18 June; sandbox access by 1 July. Callum Reid, Technical Lead.</w:t>
            </w:r>
          </w:p>
        </w:tc>
      </w:tr>
      <w:tr>
        <w:trPr>
          <w:cantSplit/>
        </w:trPr>
        <w:tc>
          <w:tcPr>
            <w:tcW w:w="86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2F5F9"/>
            <w:tcMar>
              <w:top w:w="60" w:type="dxa"/>
              <w:left w:w="100" w:type="dxa"/>
              <w:bottom w:w="60" w:type="dxa"/>
              <w:right w:w="100" w:type="dxa"/>
            </w:tcMar>
          </w:tcPr>
          <w:p>
            <w:pPr>
              <w:spacing w:before="0" w:after="20" w:line="252" w:lineRule="auto"/>
            </w:pPr>
            <w:r/>
            <w:r>
              <w:rPr>
                <w:rFonts w:ascii="Arial" w:hAnsi="Arial" w:cs="Arial" w:eastAsia="Arial"/>
                <w:b w:val="0"/>
                <w:i w:val="0"/>
                <w:color w:val="262626"/>
                <w:sz w:val="18"/>
              </w:rPr>
              <w:t>RISK-06</w:t>
            </w:r>
          </w:p>
        </w:tc>
        <w:tc>
          <w:tcPr>
            <w:tcW w:w="31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2F5F9"/>
            <w:tcMar>
              <w:top w:w="60" w:type="dxa"/>
              <w:left w:w="100" w:type="dxa"/>
              <w:bottom w:w="60" w:type="dxa"/>
              <w:right w:w="100" w:type="dxa"/>
            </w:tcMar>
          </w:tcPr>
          <w:p>
            <w:pPr>
              <w:spacing w:before="0" w:after="20" w:line="252" w:lineRule="auto"/>
            </w:pPr>
            <w:r/>
            <w:r>
              <w:rPr>
                <w:rFonts w:ascii="Arial" w:hAnsi="Arial" w:cs="Arial" w:eastAsia="Arial"/>
                <w:b w:val="0"/>
                <w:i w:val="0"/>
                <w:color w:val="262626"/>
                <w:sz w:val="18"/>
              </w:rPr>
              <w:t>A failed CRM synchronisation may go unalerted in live running: DEC-08 is undecided and T-005 and T-031 have not run.</w:t>
            </w:r>
          </w:p>
        </w:tc>
        <w:tc>
          <w:tcPr>
            <w:tcW w:w="106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2F5F9"/>
            <w:tcMar>
              <w:top w:w="60" w:type="dxa"/>
              <w:left w:w="100" w:type="dxa"/>
              <w:bottom w:w="60" w:type="dxa"/>
              <w:right w:w="100" w:type="dxa"/>
            </w:tcMar>
          </w:tcPr>
          <w:p>
            <w:pPr>
              <w:spacing w:before="0" w:after="20" w:line="252" w:lineRule="auto"/>
            </w:pPr>
            <w:r/>
            <w:r>
              <w:rPr>
                <w:rFonts w:ascii="Arial" w:hAnsi="Arial" w:cs="Arial" w:eastAsia="Arial"/>
                <w:b w:val="0"/>
                <w:i w:val="0"/>
                <w:color w:val="262626"/>
                <w:sz w:val="18"/>
              </w:rPr>
              <w:t>Amber (9)</w:t>
            </w:r>
          </w:p>
        </w:tc>
        <w:tc>
          <w:tcPr>
            <w:tcW w:w="86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2F5F9"/>
            <w:tcMar>
              <w:top w:w="60" w:type="dxa"/>
              <w:left w:w="100" w:type="dxa"/>
              <w:bottom w:w="60" w:type="dxa"/>
              <w:right w:w="100" w:type="dxa"/>
            </w:tcMar>
          </w:tcPr>
          <w:p>
            <w:pPr>
              <w:spacing w:before="0" w:after="20" w:line="252" w:lineRule="auto"/>
            </w:pPr>
            <w:r/>
            <w:r>
              <w:rPr>
                <w:rFonts w:ascii="Arial" w:hAnsi="Arial" w:cs="Arial" w:eastAsia="Arial"/>
                <w:b w:val="0"/>
                <w:i w:val="0"/>
                <w:color w:val="262626"/>
                <w:sz w:val="18"/>
              </w:rPr>
              <w:t>Stable</w:t>
            </w:r>
          </w:p>
        </w:tc>
        <w:tc>
          <w:tcPr>
            <w:tcW w:w="366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2F5F9"/>
            <w:tcMar>
              <w:top w:w="60" w:type="dxa"/>
              <w:left w:w="100" w:type="dxa"/>
              <w:bottom w:w="60" w:type="dxa"/>
              <w:right w:w="100" w:type="dxa"/>
            </w:tcMar>
          </w:tcPr>
          <w:p>
            <w:pPr>
              <w:spacing w:before="0" w:after="20" w:line="252" w:lineRule="auto"/>
            </w:pPr>
            <w:r/>
            <w:r>
              <w:rPr>
                <w:rFonts w:ascii="Arial" w:hAnsi="Arial" w:cs="Arial" w:eastAsia="Arial"/>
                <w:b w:val="0"/>
                <w:i w:val="0"/>
                <w:color w:val="262626"/>
                <w:sz w:val="18"/>
              </w:rPr>
              <w:t>Decide DEC-08 by 19 June; CRM stub by 16 June; interim morning check of the exception queue. Callum Reid, Technical Lead.</w:t>
            </w:r>
          </w:p>
        </w:tc>
      </w:tr>
      <w:tr>
        <w:trPr>
          <w:cantSplit/>
        </w:trPr>
        <w:tc>
          <w:tcPr>
            <w:tcW w:w="86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>
            <w:pPr>
              <w:spacing w:before="0" w:after="20" w:line="252" w:lineRule="auto"/>
            </w:pPr>
            <w:r/>
            <w:r>
              <w:rPr>
                <w:rFonts w:ascii="Arial" w:hAnsi="Arial" w:cs="Arial" w:eastAsia="Arial"/>
                <w:b w:val="0"/>
                <w:i w:val="0"/>
                <w:color w:val="262626"/>
                <w:sz w:val="18"/>
              </w:rPr>
              <w:t>RISK-01</w:t>
            </w:r>
          </w:p>
        </w:tc>
        <w:tc>
          <w:tcPr>
            <w:tcW w:w="31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>
            <w:pPr>
              <w:spacing w:before="0" w:after="20" w:line="252" w:lineRule="auto"/>
            </w:pPr>
            <w:r/>
            <w:r>
              <w:rPr>
                <w:rFonts w:ascii="Arial" w:hAnsi="Arial" w:cs="Arial" w:eastAsia="Arial"/>
                <w:b w:val="0"/>
                <w:i w:val="0"/>
                <w:color w:val="262626"/>
                <w:sz w:val="18"/>
              </w:rPr>
              <w:t>Compliance sign-off may be delayed because Compliance SME time is limited.</w:t>
            </w:r>
          </w:p>
        </w:tc>
        <w:tc>
          <w:tcPr>
            <w:tcW w:w="106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>
            <w:pPr>
              <w:spacing w:before="0" w:after="20" w:line="252" w:lineRule="auto"/>
            </w:pPr>
            <w:r/>
            <w:r>
              <w:rPr>
                <w:rFonts w:ascii="Arial" w:hAnsi="Arial" w:cs="Arial" w:eastAsia="Arial"/>
                <w:b w:val="0"/>
                <w:i w:val="0"/>
                <w:color w:val="262626"/>
                <w:sz w:val="18"/>
              </w:rPr>
              <w:t>Amber (8)</w:t>
            </w:r>
          </w:p>
        </w:tc>
        <w:tc>
          <w:tcPr>
            <w:tcW w:w="867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>
            <w:pPr>
              <w:spacing w:before="0" w:after="20" w:line="252" w:lineRule="auto"/>
            </w:pPr>
            <w:r/>
            <w:r>
              <w:rPr>
                <w:rFonts w:ascii="Arial" w:hAnsi="Arial" w:cs="Arial" w:eastAsia="Arial"/>
                <w:b w:val="0"/>
                <w:i w:val="0"/>
                <w:color w:val="262626"/>
                <w:sz w:val="18"/>
              </w:rPr>
              <w:t>Stable</w:t>
            </w:r>
          </w:p>
        </w:tc>
        <w:tc>
          <w:tcPr>
            <w:tcW w:w="366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>
            <w:pPr>
              <w:spacing w:before="0" w:after="20" w:line="252" w:lineRule="auto"/>
            </w:pPr>
            <w:r/>
            <w:r>
              <w:rPr>
                <w:rFonts w:ascii="Arial" w:hAnsi="Arial" w:cs="Arial" w:eastAsia="Arial"/>
                <w:b w:val="0"/>
                <w:i w:val="0"/>
                <w:color w:val="262626"/>
                <w:sz w:val="18"/>
              </w:rPr>
              <w:t>Weekly compliance review held since 17 March; decisions logged against the delegation. Laura Simmons, Lead BA.</w:t>
            </w:r>
          </w:p>
        </w:tc>
      </w:tr>
    </w:tbl>
    <w:p>
      <w:pPr>
        <w:spacing w:after="80" w:before="0"/>
      </w:pPr>
    </w:p>
    <w:p>
      <w:pPr>
        <w:pStyle w:val="Heading1"/>
      </w:pPr>
      <w:r>
        <w:rPr>
          <w:rFonts w:ascii="Arial" w:hAnsi="Arial" w:cs="Arial" w:eastAsia="Arial"/>
          <w:b/>
          <w:i w:val="0"/>
          <w:color w:val="1F4E78"/>
          <w:sz w:val="28"/>
        </w:rPr>
        <w:t>6. Upcoming Milestones</w:t>
      </w:r>
    </w:p>
    <w:tbl>
      <w:tblPr>
        <w:tblW w:w="9638" w:type="dxa"/>
        <w:tblLayout w:type="fixed"/>
      </w:tblPr>
      <w:tblGrid>
        <w:gridCol w:w="4819"/>
        <w:gridCol w:w="1734"/>
        <w:gridCol w:w="3085"/>
      </w:tblGrid>
      <w:tr>
        <w:trPr>
          <w:cantSplit/>
          <w:tblHeader/>
        </w:trPr>
        <w:tc>
          <w:tcPr>
            <w:tcW w:w="4819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1F4E78"/>
            <w:tcMar>
              <w:top w:w="60" w:type="dxa"/>
              <w:left w:w="100" w:type="dxa"/>
              <w:bottom w:w="60" w:type="dxa"/>
              <w:right w:w="100" w:type="dxa"/>
            </w:tcMar>
          </w:tcPr>
          <w:p>
            <w:pPr>
              <w:keepNext/>
              <w:spacing w:before="0" w:after="20" w:line="252" w:lineRule="auto"/>
            </w:pPr>
            <w:r/>
            <w:r>
              <w:rPr>
                <w:rFonts w:ascii="Arial" w:hAnsi="Arial" w:cs="Arial" w:eastAsia="Arial"/>
                <w:b/>
                <w:i w:val="0"/>
                <w:color w:val="FFFFFF"/>
                <w:sz w:val="18"/>
              </w:rPr>
              <w:t>Milestone</w:t>
            </w:r>
          </w:p>
        </w:tc>
        <w:tc>
          <w:tcPr>
            <w:tcW w:w="173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1F4E78"/>
            <w:tcMar>
              <w:top w:w="60" w:type="dxa"/>
              <w:left w:w="100" w:type="dxa"/>
              <w:bottom w:w="60" w:type="dxa"/>
              <w:right w:w="100" w:type="dxa"/>
            </w:tcMar>
          </w:tcPr>
          <w:p>
            <w:pPr>
              <w:keepNext/>
              <w:spacing w:before="0" w:after="20" w:line="252" w:lineRule="auto"/>
            </w:pPr>
            <w:r/>
            <w:r>
              <w:rPr>
                <w:rFonts w:ascii="Arial" w:hAnsi="Arial" w:cs="Arial" w:eastAsia="Arial"/>
                <w:b/>
                <w:i w:val="0"/>
                <w:color w:val="FFFFFF"/>
                <w:sz w:val="18"/>
              </w:rPr>
              <w:t>Target Date</w:t>
            </w:r>
          </w:p>
        </w:tc>
        <w:tc>
          <w:tcPr>
            <w:tcW w:w="308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1F4E78"/>
            <w:tcMar>
              <w:top w:w="60" w:type="dxa"/>
              <w:left w:w="100" w:type="dxa"/>
              <w:bottom w:w="60" w:type="dxa"/>
              <w:right w:w="100" w:type="dxa"/>
            </w:tcMar>
          </w:tcPr>
          <w:p>
            <w:pPr>
              <w:keepNext/>
              <w:spacing w:before="0" w:after="20" w:line="252" w:lineRule="auto"/>
            </w:pPr>
            <w:r/>
            <w:r>
              <w:rPr>
                <w:rFonts w:ascii="Arial" w:hAnsi="Arial" w:cs="Arial" w:eastAsia="Arial"/>
                <w:b/>
                <w:i w:val="0"/>
                <w:color w:val="FFFFFF"/>
                <w:sz w:val="18"/>
              </w:rPr>
              <w:t>Owner</w:t>
            </w:r>
          </w:p>
        </w:tc>
      </w:tr>
      <w:tr>
        <w:trPr>
          <w:cantSplit/>
        </w:trPr>
        <w:tc>
          <w:tcPr>
            <w:tcW w:w="4819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>
            <w:pPr>
              <w:spacing w:before="0" w:after="20" w:line="252" w:lineRule="auto"/>
            </w:pPr>
            <w:r/>
            <w:r>
              <w:rPr>
                <w:rFonts w:ascii="Arial" w:hAnsi="Arial" w:cs="Arial" w:eastAsia="Arial"/>
                <w:b w:val="0"/>
                <w:i w:val="0"/>
                <w:color w:val="262626"/>
                <w:sz w:val="18"/>
              </w:rPr>
              <w:t>Fraud-team review of SMS exposure</w:t>
            </w:r>
          </w:p>
        </w:tc>
        <w:tc>
          <w:tcPr>
            <w:tcW w:w="173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>
            <w:pPr>
              <w:spacing w:before="0" w:after="20" w:line="252" w:lineRule="auto"/>
            </w:pPr>
            <w:r/>
            <w:r>
              <w:rPr>
                <w:rFonts w:ascii="Arial" w:hAnsi="Arial" w:cs="Arial" w:eastAsia="Arial"/>
                <w:b w:val="0"/>
                <w:i w:val="0"/>
                <w:color w:val="262626"/>
                <w:sz w:val="18"/>
              </w:rPr>
              <w:t>17 June 2026</w:t>
            </w:r>
          </w:p>
        </w:tc>
        <w:tc>
          <w:tcPr>
            <w:tcW w:w="308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>
            <w:pPr>
              <w:spacing w:before="0" w:after="20" w:line="252" w:lineRule="auto"/>
            </w:pPr>
            <w:r/>
            <w:r>
              <w:rPr>
                <w:rFonts w:ascii="Arial" w:hAnsi="Arial" w:cs="Arial" w:eastAsia="Arial"/>
                <w:b w:val="0"/>
                <w:i w:val="0"/>
                <w:color w:val="262626"/>
                <w:sz w:val="18"/>
              </w:rPr>
              <w:t>Neil Fraser, Security Owner</w:t>
            </w:r>
          </w:p>
        </w:tc>
      </w:tr>
      <w:tr>
        <w:trPr>
          <w:cantSplit/>
        </w:trPr>
        <w:tc>
          <w:tcPr>
            <w:tcW w:w="4819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2F5F9"/>
            <w:tcMar>
              <w:top w:w="60" w:type="dxa"/>
              <w:left w:w="100" w:type="dxa"/>
              <w:bottom w:w="60" w:type="dxa"/>
              <w:right w:w="100" w:type="dxa"/>
            </w:tcMar>
          </w:tcPr>
          <w:p>
            <w:pPr>
              <w:spacing w:before="0" w:after="20" w:line="252" w:lineRule="auto"/>
            </w:pPr>
            <w:r/>
            <w:r>
              <w:rPr>
                <w:rFonts w:ascii="Arial" w:hAnsi="Arial" w:cs="Arial" w:eastAsia="Arial"/>
                <w:b w:val="0"/>
                <w:i w:val="0"/>
                <w:color w:val="262626"/>
                <w:sz w:val="18"/>
              </w:rPr>
              <w:t>Steering Group decision DEC-09</w:t>
            </w:r>
          </w:p>
        </w:tc>
        <w:tc>
          <w:tcPr>
            <w:tcW w:w="173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2F5F9"/>
            <w:tcMar>
              <w:top w:w="60" w:type="dxa"/>
              <w:left w:w="100" w:type="dxa"/>
              <w:bottom w:w="60" w:type="dxa"/>
              <w:right w:w="100" w:type="dxa"/>
            </w:tcMar>
          </w:tcPr>
          <w:p>
            <w:pPr>
              <w:spacing w:before="0" w:after="20" w:line="252" w:lineRule="auto"/>
            </w:pPr>
            <w:r/>
            <w:r>
              <w:rPr>
                <w:rFonts w:ascii="Arial" w:hAnsi="Arial" w:cs="Arial" w:eastAsia="Arial"/>
                <w:b w:val="0"/>
                <w:i w:val="0"/>
                <w:color w:val="262626"/>
                <w:sz w:val="18"/>
              </w:rPr>
              <w:t>18 June 2026</w:t>
            </w:r>
          </w:p>
        </w:tc>
        <w:tc>
          <w:tcPr>
            <w:tcW w:w="308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2F5F9"/>
            <w:tcMar>
              <w:top w:w="60" w:type="dxa"/>
              <w:left w:w="100" w:type="dxa"/>
              <w:bottom w:w="60" w:type="dxa"/>
              <w:right w:w="100" w:type="dxa"/>
            </w:tcMar>
          </w:tcPr>
          <w:p>
            <w:pPr>
              <w:spacing w:before="0" w:after="20" w:line="252" w:lineRule="auto"/>
            </w:pPr>
            <w:r/>
            <w:r>
              <w:rPr>
                <w:rFonts w:ascii="Arial" w:hAnsi="Arial" w:cs="Arial" w:eastAsia="Arial"/>
                <w:b w:val="0"/>
                <w:i w:val="0"/>
                <w:color w:val="262626"/>
                <w:sz w:val="18"/>
              </w:rPr>
              <w:t>Sarah Chen, Executive Sponsor</w:t>
            </w:r>
          </w:p>
        </w:tc>
      </w:tr>
      <w:tr>
        <w:trPr>
          <w:cantSplit/>
        </w:trPr>
        <w:tc>
          <w:tcPr>
            <w:tcW w:w="4819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>
            <w:pPr>
              <w:spacing w:before="0" w:after="20" w:line="252" w:lineRule="auto"/>
            </w:pPr>
            <w:r/>
            <w:r>
              <w:rPr>
                <w:rFonts w:ascii="Arial" w:hAnsi="Arial" w:cs="Arial" w:eastAsia="Arial"/>
                <w:b w:val="0"/>
                <w:i w:val="0"/>
                <w:color w:val="262626"/>
                <w:sz w:val="18"/>
              </w:rPr>
              <w:t>DEC-01 and DEC-08 decisions</w:t>
            </w:r>
          </w:p>
        </w:tc>
        <w:tc>
          <w:tcPr>
            <w:tcW w:w="173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>
            <w:pPr>
              <w:spacing w:before="0" w:after="20" w:line="252" w:lineRule="auto"/>
            </w:pPr>
            <w:r/>
            <w:r>
              <w:rPr>
                <w:rFonts w:ascii="Arial" w:hAnsi="Arial" w:cs="Arial" w:eastAsia="Arial"/>
                <w:b w:val="0"/>
                <w:i w:val="0"/>
                <w:color w:val="262626"/>
                <w:sz w:val="18"/>
              </w:rPr>
              <w:t>19 June 2026</w:t>
            </w:r>
          </w:p>
        </w:tc>
        <w:tc>
          <w:tcPr>
            <w:tcW w:w="308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>
            <w:pPr>
              <w:spacing w:before="0" w:after="20" w:line="252" w:lineRule="auto"/>
            </w:pPr>
            <w:r/>
            <w:r>
              <w:rPr>
                <w:rFonts w:ascii="Arial" w:hAnsi="Arial" w:cs="Arial" w:eastAsia="Arial"/>
                <w:b w:val="0"/>
                <w:i w:val="0"/>
                <w:color w:val="262626"/>
                <w:sz w:val="18"/>
              </w:rPr>
              <w:t>Neil Fraser, Security Owner; Callum Reid, Technical Lead</w:t>
            </w:r>
          </w:p>
        </w:tc>
      </w:tr>
      <w:tr>
        <w:trPr>
          <w:cantSplit/>
        </w:trPr>
        <w:tc>
          <w:tcPr>
            <w:tcW w:w="4819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2F5F9"/>
            <w:tcMar>
              <w:top w:w="60" w:type="dxa"/>
              <w:left w:w="100" w:type="dxa"/>
              <w:bottom w:w="60" w:type="dxa"/>
              <w:right w:w="100" w:type="dxa"/>
            </w:tcMar>
          </w:tcPr>
          <w:p>
            <w:pPr>
              <w:spacing w:before="0" w:after="20" w:line="252" w:lineRule="auto"/>
            </w:pPr>
            <w:r/>
            <w:r>
              <w:rPr>
                <w:rFonts w:ascii="Arial" w:hAnsi="Arial" w:cs="Arial" w:eastAsia="Arial"/>
                <w:b w:val="0"/>
                <w:i w:val="0"/>
                <w:color w:val="262626"/>
                <w:sz w:val="18"/>
              </w:rPr>
              <w:t>UAT cycle 2</w:t>
            </w:r>
          </w:p>
        </w:tc>
        <w:tc>
          <w:tcPr>
            <w:tcW w:w="173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2F5F9"/>
            <w:tcMar>
              <w:top w:w="60" w:type="dxa"/>
              <w:left w:w="100" w:type="dxa"/>
              <w:bottom w:w="60" w:type="dxa"/>
              <w:right w:w="100" w:type="dxa"/>
            </w:tcMar>
          </w:tcPr>
          <w:p>
            <w:pPr>
              <w:spacing w:before="0" w:after="20" w:line="252" w:lineRule="auto"/>
            </w:pPr>
            <w:r/>
            <w:r>
              <w:rPr>
                <w:rFonts w:ascii="Arial" w:hAnsi="Arial" w:cs="Arial" w:eastAsia="Arial"/>
                <w:b w:val="0"/>
                <w:i w:val="0"/>
                <w:color w:val="262626"/>
                <w:sz w:val="18"/>
              </w:rPr>
              <w:t>6 July 2026</w:t>
            </w:r>
          </w:p>
        </w:tc>
        <w:tc>
          <w:tcPr>
            <w:tcW w:w="308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2F5F9"/>
            <w:tcMar>
              <w:top w:w="60" w:type="dxa"/>
              <w:left w:w="100" w:type="dxa"/>
              <w:bottom w:w="60" w:type="dxa"/>
              <w:right w:w="100" w:type="dxa"/>
            </w:tcMar>
          </w:tcPr>
          <w:p>
            <w:pPr>
              <w:spacing w:before="0" w:after="20" w:line="252" w:lineRule="auto"/>
            </w:pPr>
            <w:r/>
            <w:r>
              <w:rPr>
                <w:rFonts w:ascii="Arial" w:hAnsi="Arial" w:cs="Arial" w:eastAsia="Arial"/>
                <w:b w:val="0"/>
                <w:i w:val="0"/>
                <w:color w:val="262626"/>
                <w:sz w:val="18"/>
              </w:rPr>
              <w:t>Ruth Ellison, Test Lead</w:t>
            </w:r>
          </w:p>
        </w:tc>
      </w:tr>
      <w:tr>
        <w:trPr>
          <w:cantSplit/>
        </w:trPr>
        <w:tc>
          <w:tcPr>
            <w:tcW w:w="4819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>
            <w:pPr>
              <w:spacing w:before="0" w:after="20" w:line="252" w:lineRule="auto"/>
            </w:pPr>
            <w:r/>
            <w:r>
              <w:rPr>
                <w:rFonts w:ascii="Arial" w:hAnsi="Arial" w:cs="Arial" w:eastAsia="Arial"/>
                <w:b w:val="0"/>
                <w:i w:val="0"/>
                <w:color w:val="262626"/>
                <w:sz w:val="18"/>
              </w:rPr>
              <w:t>Go or no-go (gate G4)</w:t>
            </w:r>
          </w:p>
        </w:tc>
        <w:tc>
          <w:tcPr>
            <w:tcW w:w="173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>
            <w:pPr>
              <w:spacing w:before="0" w:after="20" w:line="252" w:lineRule="auto"/>
            </w:pPr>
            <w:r/>
            <w:r>
              <w:rPr>
                <w:rFonts w:ascii="Arial" w:hAnsi="Arial" w:cs="Arial" w:eastAsia="Arial"/>
                <w:b w:val="0"/>
                <w:i w:val="0"/>
                <w:color w:val="262626"/>
                <w:sz w:val="18"/>
              </w:rPr>
              <w:t>13 July 2026</w:t>
            </w:r>
          </w:p>
        </w:tc>
        <w:tc>
          <w:tcPr>
            <w:tcW w:w="308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>
            <w:pPr>
              <w:spacing w:before="0" w:after="20" w:line="252" w:lineRule="auto"/>
            </w:pPr>
            <w:r/>
            <w:r>
              <w:rPr>
                <w:rFonts w:ascii="Arial" w:hAnsi="Arial" w:cs="Arial" w:eastAsia="Arial"/>
                <w:b w:val="0"/>
                <w:i w:val="0"/>
                <w:color w:val="262626"/>
                <w:sz w:val="18"/>
              </w:rPr>
              <w:t>Amir Patel, Product Owner</w:t>
            </w:r>
          </w:p>
        </w:tc>
      </w:tr>
    </w:tbl>
    <w:p>
      <w:pPr>
        <w:spacing w:after="80" w:before="0"/>
      </w:pPr>
    </w:p>
    <w:p>
      <w:pPr>
        <w:pStyle w:val="Heading1"/>
      </w:pPr>
      <w:r>
        <w:rPr>
          <w:rFonts w:ascii="Arial" w:hAnsi="Arial" w:cs="Arial" w:eastAsia="Arial"/>
          <w:b/>
          <w:i w:val="0"/>
          <w:color w:val="1F4E78"/>
          <w:sz w:val="28"/>
        </w:rPr>
        <w:t>7. Decisions Needed</w:t>
      </w:r>
    </w:p>
    <w:p>
      <w:pPr>
        <w:pStyle w:val="ListBullet"/>
      </w:pPr>
      <w:r>
        <w:rPr>
          <w:rFonts w:ascii="Arial" w:hAnsi="Arial" w:cs="Arial" w:eastAsia="Arial"/>
          <w:b w:val="0"/>
          <w:i w:val="0"/>
          <w:color w:val="262626"/>
          <w:sz w:val="20"/>
        </w:rPr>
        <w:t>DEC-09: identity-verification method and assurance level for registration. Owner: Sarah Chen, Executive Sponsor, by 18 June 2026. If late: REQ-001 stays Under Review; registration cannot go live without an agreed control.</w:t>
      </w:r>
    </w:p>
    <w:p>
      <w:pPr>
        <w:pStyle w:val="ListBullet"/>
      </w:pPr>
      <w:r>
        <w:rPr>
          <w:rFonts w:ascii="Arial" w:hAnsi="Arial" w:cs="Arial" w:eastAsia="Arial"/>
          <w:b w:val="0"/>
          <w:i w:val="0"/>
          <w:color w:val="262626"/>
          <w:sz w:val="20"/>
        </w:rPr>
        <w:t>DEC-01: MFA channel, segments and recovery. Owner: Neil Fraser, Security Owner, by 19 June 2026. If late: REQ-002 stays Under Review; Sprint 4 build and cycle 2 tests cannot be planned.</w:t>
      </w:r>
    </w:p>
    <w:p>
      <w:pPr>
        <w:pStyle w:val="ListBullet"/>
      </w:pPr>
      <w:r>
        <w:rPr>
          <w:rFonts w:ascii="Arial" w:hAnsi="Arial" w:cs="Arial" w:eastAsia="Arial"/>
          <w:b w:val="0"/>
          <w:i w:val="0"/>
          <w:color w:val="262626"/>
          <w:sz w:val="20"/>
        </w:rPr>
        <w:t>DEC-08: alert after a CRM failure that recovers. Owner: Callum Reid, Technical Lead, by 19 June 2026. If late: REQ-005 stays Under Review; T-005 cannot be designed to an agreed result.</w:t>
      </w:r>
    </w:p>
    <w:p>
      <w:pPr>
        <w:spacing w:after="120"/>
      </w:pPr>
      <w:r>
        <w:rPr>
          <w:rFonts w:ascii="Arial" w:hAnsi="Arial" w:cs="Arial" w:eastAsia="Arial"/>
          <w:b w:val="0"/>
          <w:i w:val="0"/>
          <w:color w:val="262626"/>
          <w:sz w:val="20"/>
        </w:rPr>
        <w:t xml:space="preserve">Decided this period: DEC-13 (8 June 2026), Amir Patel, Product Owner, under SRC-07 v1. The two G2 entry criteria ISS-01 and ISS-02 were waived for UAT cycle 1 only; both close before cycle 2 and neither is waived for gate G3. The Decision Log now holds 13 decisions: 10 Approved and 3 Pending (DEC-01, DEC-08, DEC-09).</w:t>
      </w:r>
    </w:p>
    <w:p>
      <w:pPr>
        <w:pStyle w:val="Heading1"/>
      </w:pPr>
      <w:r>
        <w:rPr>
          <w:rFonts w:ascii="Arial" w:hAnsi="Arial" w:cs="Arial" w:eastAsia="Arial"/>
          <w:b/>
          <w:i w:val="0"/>
          <w:color w:val="1F4E78"/>
          <w:sz w:val="28"/>
        </w:rPr>
        <w:t>8. Actions</w:t>
      </w:r>
    </w:p>
    <w:tbl>
      <w:tblPr>
        <w:tblW w:w="9638" w:type="dxa"/>
        <w:tblLayout w:type="fixed"/>
      </w:tblPr>
      <w:tblGrid>
        <w:gridCol w:w="771"/>
        <w:gridCol w:w="4240"/>
        <w:gridCol w:w="2120"/>
        <w:gridCol w:w="1349"/>
        <w:gridCol w:w="1158"/>
      </w:tblGrid>
      <w:tr>
        <w:trPr>
          <w:cantSplit/>
          <w:tblHeader/>
        </w:trPr>
        <w:tc>
          <w:tcPr>
            <w:tcW w:w="77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1F4E78"/>
            <w:tcMar>
              <w:top w:w="60" w:type="dxa"/>
              <w:left w:w="100" w:type="dxa"/>
              <w:bottom w:w="60" w:type="dxa"/>
              <w:right w:w="100" w:type="dxa"/>
            </w:tcMar>
          </w:tcPr>
          <w:p>
            <w:pPr>
              <w:keepNext/>
              <w:spacing w:before="0" w:after="20" w:line="252" w:lineRule="auto"/>
            </w:pPr>
            <w:r/>
            <w:r>
              <w:rPr>
                <w:rFonts w:ascii="Arial" w:hAnsi="Arial" w:cs="Arial" w:eastAsia="Arial"/>
                <w:b/>
                <w:i w:val="0"/>
                <w:color w:val="FFFFFF"/>
                <w:sz w:val="18"/>
              </w:rPr>
              <w:t>ID</w:t>
            </w:r>
          </w:p>
        </w:tc>
        <w:tc>
          <w:tcPr>
            <w:tcW w:w="424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1F4E78"/>
            <w:tcMar>
              <w:top w:w="60" w:type="dxa"/>
              <w:left w:w="100" w:type="dxa"/>
              <w:bottom w:w="60" w:type="dxa"/>
              <w:right w:w="100" w:type="dxa"/>
            </w:tcMar>
          </w:tcPr>
          <w:p>
            <w:pPr>
              <w:keepNext/>
              <w:spacing w:before="0" w:after="20" w:line="252" w:lineRule="auto"/>
            </w:pPr>
            <w:r/>
            <w:r>
              <w:rPr>
                <w:rFonts w:ascii="Arial" w:hAnsi="Arial" w:cs="Arial" w:eastAsia="Arial"/>
                <w:b/>
                <w:i w:val="0"/>
                <w:color w:val="FFFFFF"/>
                <w:sz w:val="18"/>
              </w:rPr>
              <w:t>Action</w:t>
            </w:r>
          </w:p>
        </w:tc>
        <w:tc>
          <w:tcPr>
            <w:tcW w:w="21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1F4E78"/>
            <w:tcMar>
              <w:top w:w="60" w:type="dxa"/>
              <w:left w:w="100" w:type="dxa"/>
              <w:bottom w:w="60" w:type="dxa"/>
              <w:right w:w="100" w:type="dxa"/>
            </w:tcMar>
          </w:tcPr>
          <w:p>
            <w:pPr>
              <w:keepNext/>
              <w:spacing w:before="0" w:after="20" w:line="252" w:lineRule="auto"/>
            </w:pPr>
            <w:r/>
            <w:r>
              <w:rPr>
                <w:rFonts w:ascii="Arial" w:hAnsi="Arial" w:cs="Arial" w:eastAsia="Arial"/>
                <w:b/>
                <w:i w:val="0"/>
                <w:color w:val="FFFFFF"/>
                <w:sz w:val="18"/>
              </w:rPr>
              <w:t>Owner</w:t>
            </w:r>
          </w:p>
        </w:tc>
        <w:tc>
          <w:tcPr>
            <w:tcW w:w="1349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1F4E78"/>
            <w:tcMar>
              <w:top w:w="60" w:type="dxa"/>
              <w:left w:w="100" w:type="dxa"/>
              <w:bottom w:w="60" w:type="dxa"/>
              <w:right w:w="100" w:type="dxa"/>
            </w:tcMar>
          </w:tcPr>
          <w:p>
            <w:pPr>
              <w:keepNext/>
              <w:spacing w:before="0" w:after="20" w:line="252" w:lineRule="auto"/>
            </w:pPr>
            <w:r/>
            <w:r>
              <w:rPr>
                <w:rFonts w:ascii="Arial" w:hAnsi="Arial" w:cs="Arial" w:eastAsia="Arial"/>
                <w:b/>
                <w:i w:val="0"/>
                <w:color w:val="FFFFFF"/>
                <w:sz w:val="18"/>
              </w:rPr>
              <w:t>Due Date</w:t>
            </w:r>
          </w:p>
        </w:tc>
        <w:tc>
          <w:tcPr>
            <w:tcW w:w="115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1F4E78"/>
            <w:tcMar>
              <w:top w:w="60" w:type="dxa"/>
              <w:left w:w="100" w:type="dxa"/>
              <w:bottom w:w="60" w:type="dxa"/>
              <w:right w:w="100" w:type="dxa"/>
            </w:tcMar>
          </w:tcPr>
          <w:p>
            <w:pPr>
              <w:keepNext/>
              <w:spacing w:before="0" w:after="20" w:line="252" w:lineRule="auto"/>
            </w:pPr>
            <w:r/>
            <w:r>
              <w:rPr>
                <w:rFonts w:ascii="Arial" w:hAnsi="Arial" w:cs="Arial" w:eastAsia="Arial"/>
                <w:b/>
                <w:i w:val="0"/>
                <w:color w:val="FFFFFF"/>
                <w:sz w:val="18"/>
              </w:rPr>
              <w:t>Status</w:t>
            </w:r>
          </w:p>
        </w:tc>
      </w:tr>
      <w:tr>
        <w:trPr>
          <w:cantSplit/>
        </w:trPr>
        <w:tc>
          <w:tcPr>
            <w:tcW w:w="77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>
            <w:pPr>
              <w:spacing w:before="0" w:after="20" w:line="252" w:lineRule="auto"/>
            </w:pPr>
            <w:r/>
            <w:r>
              <w:rPr>
                <w:rFonts w:ascii="Arial" w:hAnsi="Arial" w:cs="Arial" w:eastAsia="Arial"/>
                <w:b w:val="0"/>
                <w:i w:val="0"/>
                <w:color w:val="262626"/>
                <w:sz w:val="18"/>
              </w:rPr>
              <w:t>A001</w:t>
            </w:r>
          </w:p>
        </w:tc>
        <w:tc>
          <w:tcPr>
            <w:tcW w:w="424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>
            <w:pPr>
              <w:spacing w:before="0" w:after="20" w:line="252" w:lineRule="auto"/>
            </w:pPr>
            <w:r/>
            <w:r>
              <w:rPr>
                <w:rFonts w:ascii="Arial" w:hAnsi="Arial" w:cs="Arial" w:eastAsia="Arial"/>
                <w:b w:val="0"/>
                <w:i w:val="0"/>
                <w:color w:val="262626"/>
                <w:sz w:val="18"/>
              </w:rPr>
              <w:t>Table DEC-09 at Steering Group with the Compliance recommendation</w:t>
            </w:r>
          </w:p>
        </w:tc>
        <w:tc>
          <w:tcPr>
            <w:tcW w:w="21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>
            <w:pPr>
              <w:spacing w:before="0" w:after="20" w:line="252" w:lineRule="auto"/>
            </w:pPr>
            <w:r/>
            <w:r>
              <w:rPr>
                <w:rFonts w:ascii="Arial" w:hAnsi="Arial" w:cs="Arial" w:eastAsia="Arial"/>
                <w:b w:val="0"/>
                <w:i w:val="0"/>
                <w:color w:val="262626"/>
                <w:sz w:val="18"/>
              </w:rPr>
              <w:t>Laura Simmons, Lead BA</w:t>
            </w:r>
          </w:p>
        </w:tc>
        <w:tc>
          <w:tcPr>
            <w:tcW w:w="1349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>
            <w:pPr>
              <w:spacing w:before="0" w:after="20" w:line="252" w:lineRule="auto"/>
            </w:pPr>
            <w:r/>
            <w:r>
              <w:rPr>
                <w:rFonts w:ascii="Arial" w:hAnsi="Arial" w:cs="Arial" w:eastAsia="Arial"/>
                <w:b w:val="0"/>
                <w:i w:val="0"/>
                <w:color w:val="262626"/>
                <w:sz w:val="18"/>
              </w:rPr>
              <w:t>18 June 2026</w:t>
            </w:r>
          </w:p>
        </w:tc>
        <w:tc>
          <w:tcPr>
            <w:tcW w:w="115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>
            <w:pPr>
              <w:spacing w:before="0" w:after="20" w:line="252" w:lineRule="auto"/>
            </w:pPr>
            <w:r/>
            <w:r>
              <w:rPr>
                <w:rFonts w:ascii="Arial" w:hAnsi="Arial" w:cs="Arial" w:eastAsia="Arial"/>
                <w:b w:val="0"/>
                <w:i w:val="0"/>
                <w:color w:val="262626"/>
                <w:sz w:val="18"/>
              </w:rPr>
              <w:t>Open</w:t>
            </w:r>
          </w:p>
        </w:tc>
      </w:tr>
      <w:tr>
        <w:trPr>
          <w:cantSplit/>
        </w:trPr>
        <w:tc>
          <w:tcPr>
            <w:tcW w:w="77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2F5F9"/>
            <w:tcMar>
              <w:top w:w="60" w:type="dxa"/>
              <w:left w:w="100" w:type="dxa"/>
              <w:bottom w:w="60" w:type="dxa"/>
              <w:right w:w="100" w:type="dxa"/>
            </w:tcMar>
          </w:tcPr>
          <w:p>
            <w:pPr>
              <w:spacing w:before="0" w:after="20" w:line="252" w:lineRule="auto"/>
            </w:pPr>
            <w:r/>
            <w:r>
              <w:rPr>
                <w:rFonts w:ascii="Arial" w:hAnsi="Arial" w:cs="Arial" w:eastAsia="Arial"/>
                <w:b w:val="0"/>
                <w:i w:val="0"/>
                <w:color w:val="262626"/>
                <w:sz w:val="18"/>
              </w:rPr>
              <w:t>A002</w:t>
            </w:r>
          </w:p>
        </w:tc>
        <w:tc>
          <w:tcPr>
            <w:tcW w:w="424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2F5F9"/>
            <w:tcMar>
              <w:top w:w="60" w:type="dxa"/>
              <w:left w:w="100" w:type="dxa"/>
              <w:bottom w:w="60" w:type="dxa"/>
              <w:right w:w="100" w:type="dxa"/>
            </w:tcMar>
          </w:tcPr>
          <w:p>
            <w:pPr>
              <w:spacing w:before="0" w:after="20" w:line="252" w:lineRule="auto"/>
            </w:pPr>
            <w:r/>
            <w:r>
              <w:rPr>
                <w:rFonts w:ascii="Arial" w:hAnsi="Arial" w:cs="Arial" w:eastAsia="Arial"/>
                <w:b w:val="0"/>
                <w:i w:val="0"/>
                <w:color w:val="262626"/>
                <w:sz w:val="18"/>
              </w:rPr>
              <w:t>Confirm the date and attendees for the fraud-team review</w:t>
            </w:r>
          </w:p>
        </w:tc>
        <w:tc>
          <w:tcPr>
            <w:tcW w:w="21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2F5F9"/>
            <w:tcMar>
              <w:top w:w="60" w:type="dxa"/>
              <w:left w:w="100" w:type="dxa"/>
              <w:bottom w:w="60" w:type="dxa"/>
              <w:right w:w="100" w:type="dxa"/>
            </w:tcMar>
          </w:tcPr>
          <w:p>
            <w:pPr>
              <w:spacing w:before="0" w:after="20" w:line="252" w:lineRule="auto"/>
            </w:pPr>
            <w:r/>
            <w:r>
              <w:rPr>
                <w:rFonts w:ascii="Arial" w:hAnsi="Arial" w:cs="Arial" w:eastAsia="Arial"/>
                <w:b w:val="0"/>
                <w:i w:val="0"/>
                <w:color w:val="262626"/>
                <w:sz w:val="18"/>
              </w:rPr>
              <w:t>Kevin Marlow, Project Manager</w:t>
            </w:r>
          </w:p>
        </w:tc>
        <w:tc>
          <w:tcPr>
            <w:tcW w:w="1349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2F5F9"/>
            <w:tcMar>
              <w:top w:w="60" w:type="dxa"/>
              <w:left w:w="100" w:type="dxa"/>
              <w:bottom w:w="60" w:type="dxa"/>
              <w:right w:w="100" w:type="dxa"/>
            </w:tcMar>
          </w:tcPr>
          <w:p>
            <w:pPr>
              <w:spacing w:before="0" w:after="20" w:line="252" w:lineRule="auto"/>
            </w:pPr>
            <w:r/>
            <w:r>
              <w:rPr>
                <w:rFonts w:ascii="Arial" w:hAnsi="Arial" w:cs="Arial" w:eastAsia="Arial"/>
                <w:b w:val="0"/>
                <w:i w:val="0"/>
                <w:color w:val="262626"/>
                <w:sz w:val="18"/>
              </w:rPr>
              <w:t>15 June 2026</w:t>
            </w:r>
          </w:p>
        </w:tc>
        <w:tc>
          <w:tcPr>
            <w:tcW w:w="115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2F5F9"/>
            <w:tcMar>
              <w:top w:w="60" w:type="dxa"/>
              <w:left w:w="100" w:type="dxa"/>
              <w:bottom w:w="60" w:type="dxa"/>
              <w:right w:w="100" w:type="dxa"/>
            </w:tcMar>
          </w:tcPr>
          <w:p>
            <w:pPr>
              <w:spacing w:before="0" w:after="20" w:line="252" w:lineRule="auto"/>
            </w:pPr>
            <w:r/>
            <w:r>
              <w:rPr>
                <w:rFonts w:ascii="Arial" w:hAnsi="Arial" w:cs="Arial" w:eastAsia="Arial"/>
                <w:b w:val="0"/>
                <w:i w:val="0"/>
                <w:color w:val="262626"/>
                <w:sz w:val="18"/>
              </w:rPr>
              <w:t>Open</w:t>
            </w:r>
          </w:p>
        </w:tc>
      </w:tr>
      <w:tr>
        <w:trPr>
          <w:cantSplit/>
        </w:trPr>
        <w:tc>
          <w:tcPr>
            <w:tcW w:w="77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>
            <w:pPr>
              <w:spacing w:before="0" w:after="20" w:line="252" w:lineRule="auto"/>
            </w:pPr>
            <w:r/>
            <w:r>
              <w:rPr>
                <w:rFonts w:ascii="Arial" w:hAnsi="Arial" w:cs="Arial" w:eastAsia="Arial"/>
                <w:b w:val="0"/>
                <w:i w:val="0"/>
                <w:color w:val="262626"/>
                <w:sz w:val="18"/>
              </w:rPr>
              <w:t>A003</w:t>
            </w:r>
          </w:p>
        </w:tc>
        <w:tc>
          <w:tcPr>
            <w:tcW w:w="424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>
            <w:pPr>
              <w:spacing w:before="0" w:after="20" w:line="252" w:lineRule="auto"/>
            </w:pPr>
            <w:r/>
            <w:r>
              <w:rPr>
                <w:rFonts w:ascii="Arial" w:hAnsi="Arial" w:cs="Arial" w:eastAsia="Arial"/>
                <w:b w:val="0"/>
                <w:i w:val="0"/>
                <w:color w:val="262626"/>
                <w:sz w:val="18"/>
              </w:rPr>
              <w:t>Supply a synthetic data extract with Suspended and Archived accounts (ISS-01)</w:t>
            </w:r>
          </w:p>
        </w:tc>
        <w:tc>
          <w:tcPr>
            <w:tcW w:w="21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>
            <w:pPr>
              <w:spacing w:before="0" w:after="20" w:line="252" w:lineRule="auto"/>
            </w:pPr>
            <w:r/>
            <w:r>
              <w:rPr>
                <w:rFonts w:ascii="Arial" w:hAnsi="Arial" w:cs="Arial" w:eastAsia="Arial"/>
                <w:b w:val="0"/>
                <w:i w:val="0"/>
                <w:color w:val="262626"/>
                <w:sz w:val="18"/>
              </w:rPr>
              <w:t>Ruth Ellison, Test Lead</w:t>
            </w:r>
          </w:p>
        </w:tc>
        <w:tc>
          <w:tcPr>
            <w:tcW w:w="1349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>
            <w:pPr>
              <w:spacing w:before="0" w:after="20" w:line="252" w:lineRule="auto"/>
            </w:pPr>
            <w:r/>
            <w:r>
              <w:rPr>
                <w:rFonts w:ascii="Arial" w:hAnsi="Arial" w:cs="Arial" w:eastAsia="Arial"/>
                <w:b w:val="0"/>
                <w:i w:val="0"/>
                <w:color w:val="262626"/>
                <w:sz w:val="18"/>
              </w:rPr>
              <w:t>17 June 2026</w:t>
            </w:r>
          </w:p>
        </w:tc>
        <w:tc>
          <w:tcPr>
            <w:tcW w:w="115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>
            <w:pPr>
              <w:spacing w:before="0" w:after="20" w:line="252" w:lineRule="auto"/>
            </w:pPr>
            <w:r/>
            <w:r>
              <w:rPr>
                <w:rFonts w:ascii="Arial" w:hAnsi="Arial" w:cs="Arial" w:eastAsia="Arial"/>
                <w:b w:val="0"/>
                <w:i w:val="0"/>
                <w:color w:val="262626"/>
                <w:sz w:val="18"/>
              </w:rPr>
              <w:t>Open</w:t>
            </w:r>
          </w:p>
        </w:tc>
      </w:tr>
      <w:tr>
        <w:trPr>
          <w:cantSplit/>
        </w:trPr>
        <w:tc>
          <w:tcPr>
            <w:tcW w:w="77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2F5F9"/>
            <w:tcMar>
              <w:top w:w="60" w:type="dxa"/>
              <w:left w:w="100" w:type="dxa"/>
              <w:bottom w:w="60" w:type="dxa"/>
              <w:right w:w="100" w:type="dxa"/>
            </w:tcMar>
          </w:tcPr>
          <w:p>
            <w:pPr>
              <w:spacing w:before="0" w:after="20" w:line="252" w:lineRule="auto"/>
            </w:pPr>
            <w:r/>
            <w:r>
              <w:rPr>
                <w:rFonts w:ascii="Arial" w:hAnsi="Arial" w:cs="Arial" w:eastAsia="Arial"/>
                <w:b w:val="0"/>
                <w:i w:val="0"/>
                <w:color w:val="262626"/>
                <w:sz w:val="18"/>
              </w:rPr>
              <w:t>A004</w:t>
            </w:r>
          </w:p>
        </w:tc>
        <w:tc>
          <w:tcPr>
            <w:tcW w:w="424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2F5F9"/>
            <w:tcMar>
              <w:top w:w="60" w:type="dxa"/>
              <w:left w:w="100" w:type="dxa"/>
              <w:bottom w:w="60" w:type="dxa"/>
              <w:right w:w="100" w:type="dxa"/>
            </w:tcMar>
          </w:tcPr>
          <w:p>
            <w:pPr>
              <w:spacing w:before="0" w:after="20" w:line="252" w:lineRule="auto"/>
            </w:pPr>
            <w:r/>
            <w:r>
              <w:rPr>
                <w:rFonts w:ascii="Arial" w:hAnsi="Arial" w:cs="Arial" w:eastAsia="Arial"/>
                <w:b w:val="0"/>
                <w:i w:val="0"/>
                <w:color w:val="262626"/>
                <w:sz w:val="18"/>
              </w:rPr>
              <w:t>Confirm the CRM stub delivery date (DEP-01)</w:t>
            </w:r>
          </w:p>
        </w:tc>
        <w:tc>
          <w:tcPr>
            <w:tcW w:w="21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2F5F9"/>
            <w:tcMar>
              <w:top w:w="60" w:type="dxa"/>
              <w:left w:w="100" w:type="dxa"/>
              <w:bottom w:w="60" w:type="dxa"/>
              <w:right w:w="100" w:type="dxa"/>
            </w:tcMar>
          </w:tcPr>
          <w:p>
            <w:pPr>
              <w:spacing w:before="0" w:after="20" w:line="252" w:lineRule="auto"/>
            </w:pPr>
            <w:r/>
            <w:r>
              <w:rPr>
                <w:rFonts w:ascii="Arial" w:hAnsi="Arial" w:cs="Arial" w:eastAsia="Arial"/>
                <w:b w:val="0"/>
                <w:i w:val="0"/>
                <w:color w:val="262626"/>
                <w:sz w:val="18"/>
              </w:rPr>
              <w:t>Marcus Bell, CRM Owner</w:t>
            </w:r>
          </w:p>
        </w:tc>
        <w:tc>
          <w:tcPr>
            <w:tcW w:w="1349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2F5F9"/>
            <w:tcMar>
              <w:top w:w="60" w:type="dxa"/>
              <w:left w:w="100" w:type="dxa"/>
              <w:bottom w:w="60" w:type="dxa"/>
              <w:right w:w="100" w:type="dxa"/>
            </w:tcMar>
          </w:tcPr>
          <w:p>
            <w:pPr>
              <w:spacing w:before="0" w:after="20" w:line="252" w:lineRule="auto"/>
            </w:pPr>
            <w:r/>
            <w:r>
              <w:rPr>
                <w:rFonts w:ascii="Arial" w:hAnsi="Arial" w:cs="Arial" w:eastAsia="Arial"/>
                <w:b w:val="0"/>
                <w:i w:val="0"/>
                <w:color w:val="262626"/>
                <w:sz w:val="18"/>
              </w:rPr>
              <w:t>16 June 2026</w:t>
            </w:r>
          </w:p>
        </w:tc>
        <w:tc>
          <w:tcPr>
            <w:tcW w:w="115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2F5F9"/>
            <w:tcMar>
              <w:top w:w="60" w:type="dxa"/>
              <w:left w:w="100" w:type="dxa"/>
              <w:bottom w:w="60" w:type="dxa"/>
              <w:right w:w="100" w:type="dxa"/>
            </w:tcMar>
          </w:tcPr>
          <w:p>
            <w:pPr>
              <w:spacing w:before="0" w:after="20" w:line="252" w:lineRule="auto"/>
            </w:pPr>
            <w:r/>
            <w:r>
              <w:rPr>
                <w:rFonts w:ascii="Arial" w:hAnsi="Arial" w:cs="Arial" w:eastAsia="Arial"/>
                <w:b w:val="0"/>
                <w:i w:val="0"/>
                <w:color w:val="262626"/>
                <w:sz w:val="18"/>
              </w:rPr>
              <w:t>Open</w:t>
            </w:r>
          </w:p>
        </w:tc>
      </w:tr>
      <w:tr>
        <w:trPr>
          <w:cantSplit/>
        </w:trPr>
        <w:tc>
          <w:tcPr>
            <w:tcW w:w="77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>
            <w:pPr>
              <w:spacing w:before="0" w:after="20" w:line="252" w:lineRule="auto"/>
            </w:pPr>
            <w:r/>
            <w:r>
              <w:rPr>
                <w:rFonts w:ascii="Arial" w:hAnsi="Arial" w:cs="Arial" w:eastAsia="Arial"/>
                <w:b w:val="0"/>
                <w:i w:val="0"/>
                <w:color w:val="262626"/>
                <w:sz w:val="18"/>
              </w:rPr>
              <w:t>A005</w:t>
            </w:r>
          </w:p>
        </w:tc>
        <w:tc>
          <w:tcPr>
            <w:tcW w:w="424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>
            <w:pPr>
              <w:spacing w:before="0" w:after="20" w:line="252" w:lineRule="auto"/>
            </w:pPr>
            <w:r/>
            <w:r>
              <w:rPr>
                <w:rFonts w:ascii="Arial" w:hAnsi="Arial" w:cs="Arial" w:eastAsia="Arial"/>
                <w:b w:val="0"/>
                <w:i w:val="0"/>
                <w:color w:val="262626"/>
                <w:sz w:val="18"/>
              </w:rPr>
              <w:t xml:space="preserve">Fix DEF-001, 003, 004 and 007 by 3 July; retest all outstanding defects in cycle 2 (6–10 July)</w:t>
            </w:r>
          </w:p>
        </w:tc>
        <w:tc>
          <w:tcPr>
            <w:tcW w:w="21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>
            <w:pPr>
              <w:spacing w:before="0" w:after="20" w:line="252" w:lineRule="auto"/>
            </w:pPr>
            <w:r/>
            <w:r>
              <w:rPr>
                <w:rFonts w:ascii="Arial" w:hAnsi="Arial" w:cs="Arial" w:eastAsia="Arial"/>
                <w:b w:val="0"/>
                <w:i w:val="0"/>
                <w:color w:val="262626"/>
                <w:sz w:val="18"/>
              </w:rPr>
              <w:t>Callum Reid, Technical Lead</w:t>
            </w:r>
          </w:p>
        </w:tc>
        <w:tc>
          <w:tcPr>
            <w:tcW w:w="1349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>
            <w:pPr>
              <w:spacing w:before="0" w:after="20" w:line="252" w:lineRule="auto"/>
            </w:pPr>
            <w:r/>
            <w:r>
              <w:rPr>
                <w:rFonts w:ascii="Arial" w:hAnsi="Arial" w:cs="Arial" w:eastAsia="Arial"/>
                <w:b w:val="0"/>
                <w:i w:val="0"/>
                <w:color w:val="262626"/>
                <w:sz w:val="18"/>
              </w:rPr>
              <w:t xml:space="preserve">3 July 2026</w:t>
            </w:r>
          </w:p>
        </w:tc>
        <w:tc>
          <w:tcPr>
            <w:tcW w:w="115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>
            <w:pPr>
              <w:spacing w:before="0" w:after="20" w:line="252" w:lineRule="auto"/>
            </w:pPr>
            <w:r/>
            <w:r>
              <w:rPr>
                <w:rFonts w:ascii="Arial" w:hAnsi="Arial" w:cs="Arial" w:eastAsia="Arial"/>
                <w:b w:val="0"/>
                <w:i w:val="0"/>
                <w:color w:val="262626"/>
                <w:sz w:val="18"/>
              </w:rPr>
              <w:t>Open</w:t>
            </w:r>
          </w:p>
        </w:tc>
      </w:tr>
      <w:tr>
        <w:trPr>
          <w:cantSplit/>
        </w:trPr>
        <w:tc>
          <w:tcPr>
            <w:tcW w:w="77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2F5F9"/>
            <w:tcMar>
              <w:top w:w="60" w:type="dxa"/>
              <w:left w:w="100" w:type="dxa"/>
              <w:bottom w:w="60" w:type="dxa"/>
              <w:right w:w="100" w:type="dxa"/>
            </w:tcMar>
          </w:tcPr>
          <w:p>
            <w:pPr>
              <w:spacing w:before="0" w:after="20" w:line="252" w:lineRule="auto"/>
            </w:pPr>
            <w:r/>
            <w:r>
              <w:rPr>
                <w:rFonts w:ascii="Arial" w:hAnsi="Arial" w:cs="Arial" w:eastAsia="Arial"/>
                <w:b w:val="0"/>
                <w:i w:val="0"/>
                <w:color w:val="262626"/>
                <w:sz w:val="18"/>
              </w:rPr>
              <w:t>A006</w:t>
            </w:r>
          </w:p>
        </w:tc>
        <w:tc>
          <w:tcPr>
            <w:tcW w:w="424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2F5F9"/>
            <w:tcMar>
              <w:top w:w="60" w:type="dxa"/>
              <w:left w:w="100" w:type="dxa"/>
              <w:bottom w:w="60" w:type="dxa"/>
              <w:right w:w="100" w:type="dxa"/>
            </w:tcMar>
          </w:tcPr>
          <w:p>
            <w:pPr>
              <w:spacing w:before="0" w:after="20" w:line="252" w:lineRule="auto"/>
            </w:pPr>
            <w:r/>
            <w:r>
              <w:rPr>
                <w:rFonts w:ascii="Arial" w:hAnsi="Arial" w:cs="Arial" w:eastAsia="Arial"/>
                <w:b w:val="0"/>
                <w:i w:val="0"/>
                <w:color w:val="262626"/>
                <w:sz w:val="18"/>
              </w:rPr>
              <w:t>Issue the cycle 1 test report to the Product Owner</w:t>
            </w:r>
          </w:p>
        </w:tc>
        <w:tc>
          <w:tcPr>
            <w:tcW w:w="21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2F5F9"/>
            <w:tcMar>
              <w:top w:w="60" w:type="dxa"/>
              <w:left w:w="100" w:type="dxa"/>
              <w:bottom w:w="60" w:type="dxa"/>
              <w:right w:w="100" w:type="dxa"/>
            </w:tcMar>
          </w:tcPr>
          <w:p>
            <w:pPr>
              <w:spacing w:before="0" w:after="20" w:line="252" w:lineRule="auto"/>
            </w:pPr>
            <w:r/>
            <w:r>
              <w:rPr>
                <w:rFonts w:ascii="Arial" w:hAnsi="Arial" w:cs="Arial" w:eastAsia="Arial"/>
                <w:b w:val="0"/>
                <w:i w:val="0"/>
                <w:color w:val="262626"/>
                <w:sz w:val="18"/>
              </w:rPr>
              <w:t>Ruth Ellison, Test Lead</w:t>
            </w:r>
          </w:p>
        </w:tc>
        <w:tc>
          <w:tcPr>
            <w:tcW w:w="1349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2F5F9"/>
            <w:tcMar>
              <w:top w:w="60" w:type="dxa"/>
              <w:left w:w="100" w:type="dxa"/>
              <w:bottom w:w="60" w:type="dxa"/>
              <w:right w:w="100" w:type="dxa"/>
            </w:tcMar>
          </w:tcPr>
          <w:p>
            <w:pPr>
              <w:spacing w:before="0" w:after="20" w:line="252" w:lineRule="auto"/>
            </w:pPr>
            <w:r/>
            <w:r>
              <w:rPr>
                <w:rFonts w:ascii="Arial" w:hAnsi="Arial" w:cs="Arial" w:eastAsia="Arial"/>
                <w:b w:val="0"/>
                <w:i w:val="0"/>
                <w:color w:val="262626"/>
                <w:sz w:val="18"/>
              </w:rPr>
              <w:t>12 June 2026</w:t>
            </w:r>
          </w:p>
        </w:tc>
        <w:tc>
          <w:tcPr>
            <w:tcW w:w="115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2F5F9"/>
            <w:tcMar>
              <w:top w:w="60" w:type="dxa"/>
              <w:left w:w="100" w:type="dxa"/>
              <w:bottom w:w="60" w:type="dxa"/>
              <w:right w:w="100" w:type="dxa"/>
            </w:tcMar>
          </w:tcPr>
          <w:p>
            <w:pPr>
              <w:spacing w:before="0" w:after="20" w:line="252" w:lineRule="auto"/>
            </w:pPr>
            <w:r/>
            <w:r>
              <w:rPr>
                <w:rFonts w:ascii="Arial" w:hAnsi="Arial" w:cs="Arial" w:eastAsia="Arial"/>
                <w:b w:val="0"/>
                <w:i w:val="0"/>
                <w:color w:val="262626"/>
                <w:sz w:val="18"/>
              </w:rPr>
              <w:t>Done</w:t>
            </w:r>
          </w:p>
        </w:tc>
      </w:tr>
    </w:tbl>
    <w:p>
      <w:pPr>
        <w:spacing w:after="80" w:before="0"/>
      </w:pPr>
    </w:p>
    <w:p>
      <w:pPr>
        <w:pStyle w:val="Heading1"/>
      </w:pPr>
      <w:r>
        <w:rPr>
          <w:rFonts w:ascii="Arial" w:hAnsi="Arial" w:cs="Arial" w:eastAsia="Arial"/>
          <w:b/>
          <w:i w:val="0"/>
          <w:color w:val="1F4E78"/>
          <w:sz w:val="28"/>
        </w:rPr>
        <w:t>9. How to populate this report from the registers</w:t>
      </w:r>
    </w:p>
    <w:p>
      <w:pPr>
        <w:spacing w:after="120"/>
      </w:pPr>
      <w:r>
        <w:rPr>
          <w:rFonts w:ascii="Arial" w:hAnsi="Arial" w:cs="Arial" w:eastAsia="Arial"/>
          <w:b w:val="0"/>
          <w:i w:val="0"/>
          <w:color w:val="262626"/>
          <w:sz w:val="20"/>
        </w:rPr>
        <w:t>Copy each figure from the register that owns it, on the reporting date, so the report and the registers always agree. Do not retype a number that a register can give you. The last column shows the value used in this example.</w:t>
      </w:r>
    </w:p>
    <w:tbl>
      <w:tblPr>
        <w:tblW w:w="9638" w:type="dxa"/>
        <w:tblLayout w:type="fixed"/>
      </w:tblPr>
      <w:tblGrid>
        <w:gridCol w:w="2505"/>
        <w:gridCol w:w="3662"/>
        <w:gridCol w:w="3471"/>
      </w:tblGrid>
      <w:tr>
        <w:trPr>
          <w:cantSplit/>
          <w:tblHeader/>
        </w:trPr>
        <w:tc>
          <w:tcPr>
            <w:tcW w:w="250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1F4E78"/>
            <w:tcMar>
              <w:top w:w="60" w:type="dxa"/>
              <w:left w:w="100" w:type="dxa"/>
              <w:bottom w:w="60" w:type="dxa"/>
              <w:right w:w="100" w:type="dxa"/>
            </w:tcMar>
          </w:tcPr>
          <w:p>
            <w:pPr>
              <w:keepNext/>
              <w:spacing w:before="0" w:after="20" w:line="252" w:lineRule="auto"/>
            </w:pPr>
            <w:r/>
            <w:r>
              <w:rPr>
                <w:rFonts w:ascii="Arial" w:hAnsi="Arial" w:cs="Arial" w:eastAsia="Arial"/>
                <w:b/>
                <w:i w:val="0"/>
                <w:color w:val="FFFFFF"/>
                <w:sz w:val="18"/>
              </w:rPr>
              <w:t>Report item</w:t>
            </w:r>
          </w:p>
        </w:tc>
        <w:tc>
          <w:tcPr>
            <w:tcW w:w="366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1F4E78"/>
            <w:tcMar>
              <w:top w:w="60" w:type="dxa"/>
              <w:left w:w="100" w:type="dxa"/>
              <w:bottom w:w="60" w:type="dxa"/>
              <w:right w:w="100" w:type="dxa"/>
            </w:tcMar>
          </w:tcPr>
          <w:p>
            <w:pPr>
              <w:keepNext/>
              <w:spacing w:before="0" w:after="20" w:line="252" w:lineRule="auto"/>
            </w:pPr>
            <w:r/>
            <w:r>
              <w:rPr>
                <w:rFonts w:ascii="Arial" w:hAnsi="Arial" w:cs="Arial" w:eastAsia="Arial"/>
                <w:b/>
                <w:i w:val="0"/>
                <w:color w:val="FFFFFF"/>
                <w:sz w:val="18"/>
              </w:rPr>
              <w:t>Take it from</w:t>
            </w:r>
          </w:p>
        </w:tc>
        <w:tc>
          <w:tcPr>
            <w:tcW w:w="347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1F4E78"/>
            <w:tcMar>
              <w:top w:w="60" w:type="dxa"/>
              <w:left w:w="100" w:type="dxa"/>
              <w:bottom w:w="60" w:type="dxa"/>
              <w:right w:w="100" w:type="dxa"/>
            </w:tcMar>
          </w:tcPr>
          <w:p>
            <w:pPr>
              <w:keepNext/>
              <w:spacing w:before="0" w:after="20" w:line="252" w:lineRule="auto"/>
            </w:pPr>
            <w:r/>
            <w:r>
              <w:rPr>
                <w:rFonts w:ascii="Arial" w:hAnsi="Arial" w:cs="Arial" w:eastAsia="Arial"/>
                <w:b/>
                <w:i w:val="0"/>
                <w:color w:val="FFFFFF"/>
                <w:sz w:val="18"/>
              </w:rPr>
              <w:t>Value in this example</w:t>
            </w:r>
          </w:p>
        </w:tc>
      </w:tr>
      <w:tr>
        <w:trPr>
          <w:cantSplit/>
        </w:trPr>
        <w:tc>
          <w:tcPr>
            <w:tcW w:w="250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>
            <w:pPr>
              <w:spacing w:before="0" w:after="20" w:line="252" w:lineRule="auto"/>
            </w:pPr>
            <w:r/>
            <w:r>
              <w:rPr>
                <w:rFonts w:ascii="Arial" w:hAnsi="Arial" w:cs="Arial" w:eastAsia="Arial"/>
                <w:b w:val="0"/>
                <w:i w:val="0"/>
                <w:color w:val="262626"/>
                <w:sz w:val="18"/>
              </w:rPr>
              <w:t>Schedule RAG and milestones</w:t>
            </w:r>
          </w:p>
        </w:tc>
        <w:tc>
          <w:tcPr>
            <w:tcW w:w="366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>
            <w:pPr>
              <w:spacing w:before="0" w:after="20" w:line="252" w:lineRule="auto"/>
            </w:pPr>
            <w:r/>
            <w:r>
              <w:rPr>
                <w:rFonts w:ascii="Arial" w:hAnsi="Arial" w:cs="Arial" w:eastAsia="Arial"/>
                <w:b w:val="0"/>
                <w:i w:val="0"/>
                <w:color w:val="262626"/>
                <w:sz w:val="18"/>
              </w:rPr>
              <w:t xml:space="preserve">Project plan; GOV-04 Stage Gates sheet, rows G1 to G4: column E (Planned Date) and columns F to J (mandatory criteria counts)</w:t>
            </w:r>
          </w:p>
        </w:tc>
        <w:tc>
          <w:tcPr>
            <w:tcW w:w="347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>
            <w:pPr>
              <w:spacing w:before="0" w:after="20" w:line="252" w:lineRule="auto"/>
            </w:pPr>
            <w:r/>
            <w:r>
              <w:rPr>
                <w:rFonts w:ascii="Arial" w:hAnsi="Arial" w:cs="Arial" w:eastAsia="Arial"/>
                <w:b w:val="0"/>
                <w:i w:val="0"/>
                <w:color w:val="262626"/>
                <w:sz w:val="18"/>
              </w:rPr>
              <w:t>Gate G3 UAT exit is Fail (Deferred); G4 not yet due; go-live 14 July, no float</w:t>
            </w:r>
          </w:p>
        </w:tc>
      </w:tr>
      <w:tr>
        <w:trPr>
          <w:cantSplit/>
        </w:trPr>
        <w:tc>
          <w:tcPr>
            <w:tcW w:w="250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2F5F9"/>
            <w:tcMar>
              <w:top w:w="60" w:type="dxa"/>
              <w:left w:w="100" w:type="dxa"/>
              <w:bottom w:w="60" w:type="dxa"/>
              <w:right w:w="100" w:type="dxa"/>
            </w:tcMar>
          </w:tcPr>
          <w:p>
            <w:pPr>
              <w:spacing w:before="0" w:after="20" w:line="252" w:lineRule="auto"/>
            </w:pPr>
            <w:r/>
            <w:r>
              <w:rPr>
                <w:rFonts w:ascii="Arial" w:hAnsi="Arial" w:cs="Arial" w:eastAsia="Arial"/>
                <w:b w:val="0"/>
                <w:i w:val="0"/>
                <w:color w:val="262626"/>
                <w:sz w:val="18"/>
              </w:rPr>
              <w:t>Budget RAG: spend, forecast, contingency</w:t>
            </w:r>
          </w:p>
        </w:tc>
        <w:tc>
          <w:tcPr>
            <w:tcW w:w="366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2F5F9"/>
            <w:tcMar>
              <w:top w:w="60" w:type="dxa"/>
              <w:left w:w="100" w:type="dxa"/>
              <w:bottom w:w="60" w:type="dxa"/>
              <w:right w:w="100" w:type="dxa"/>
            </w:tcMar>
          </w:tcPr>
          <w:p>
            <w:pPr>
              <w:spacing w:before="0" w:after="20" w:line="252" w:lineRule="auto"/>
            </w:pPr>
            <w:r/>
            <w:r>
              <w:rPr>
                <w:rFonts w:ascii="Arial" w:hAnsi="Arial" w:cs="Arial" w:eastAsia="Arial"/>
                <w:b w:val="0"/>
                <w:i w:val="0"/>
                <w:color w:val="262626"/>
                <w:sz w:val="18"/>
              </w:rPr>
              <w:t xml:space="preserve">Finance Business Partner's cost report; CR costs from FSF-12 section 7 (Cost row)</w:t>
            </w:r>
          </w:p>
        </w:tc>
        <w:tc>
          <w:tcPr>
            <w:tcW w:w="347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2F5F9"/>
            <w:tcMar>
              <w:top w:w="60" w:type="dxa"/>
              <w:left w:w="100" w:type="dxa"/>
              <w:bottom w:w="60" w:type="dxa"/>
              <w:right w:w="100" w:type="dxa"/>
            </w:tcMar>
          </w:tcPr>
          <w:p>
            <w:pPr>
              <w:spacing w:before="0" w:after="20" w:line="252" w:lineRule="auto"/>
            </w:pPr>
            <w:r/>
            <w:r>
              <w:rPr>
                <w:rFonts w:ascii="Arial" w:hAnsi="Arial" w:cs="Arial" w:eastAsia="Arial"/>
                <w:b w:val="0"/>
                <w:i w:val="0"/>
                <w:color w:val="262626"/>
                <w:sz w:val="18"/>
              </w:rPr>
              <w:t>£268,400 against £281,000; forecast £401,000 against £420,000; contingency £23,300</w:t>
            </w:r>
          </w:p>
        </w:tc>
      </w:tr>
      <w:tr>
        <w:trPr>
          <w:cantSplit/>
        </w:trPr>
        <w:tc>
          <w:tcPr>
            <w:tcW w:w="250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>
            <w:pPr>
              <w:spacing w:before="0" w:after="20" w:line="252" w:lineRule="auto"/>
            </w:pPr>
            <w:r/>
            <w:r>
              <w:rPr>
                <w:rFonts w:ascii="Arial" w:hAnsi="Arial" w:cs="Arial" w:eastAsia="Arial"/>
                <w:b w:val="0"/>
                <w:i w:val="0"/>
                <w:color w:val="262626"/>
                <w:sz w:val="18"/>
              </w:rPr>
              <w:t>Scope: requirements by status</w:t>
            </w:r>
          </w:p>
        </w:tc>
        <w:tc>
          <w:tcPr>
            <w:tcW w:w="366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>
            <w:pPr>
              <w:spacing w:before="0" w:after="20" w:line="252" w:lineRule="auto"/>
            </w:pPr>
            <w:r/>
            <w:r>
              <w:rPr>
                <w:rFonts w:ascii="Arial" w:hAnsi="Arial" w:cs="Arial" w:eastAsia="Arial"/>
                <w:b w:val="0"/>
                <w:i w:val="0"/>
                <w:color w:val="262626"/>
                <w:sz w:val="18"/>
              </w:rPr>
              <w:t xml:space="preserve">FSF-05 Dashboard: B2 (total), B5 to B9 (Status), B14 to B19 (Delivery status); FSF-11 Summary: Decision not approved</w:t>
            </w:r>
          </w:p>
        </w:tc>
        <w:tc>
          <w:tcPr>
            <w:tcW w:w="347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>
            <w:pPr>
              <w:spacing w:before="0" w:after="20" w:line="252" w:lineRule="auto"/>
            </w:pPr>
            <w:r/>
            <w:r>
              <w:rPr>
                <w:rFonts w:ascii="Arial" w:hAnsi="Arial" w:cs="Arial" w:eastAsia="Arial"/>
                <w:b w:val="0"/>
                <w:i w:val="0"/>
                <w:color w:val="262626"/>
                <w:sz w:val="18"/>
              </w:rPr>
              <w:t>20: 16 Approved, 3 Under Review, 1 Draft</w:t>
            </w:r>
          </w:p>
        </w:tc>
      </w:tr>
      <w:tr>
        <w:trPr>
          <w:cantSplit/>
        </w:trPr>
        <w:tc>
          <w:tcPr>
            <w:tcW w:w="250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2F5F9"/>
            <w:tcMar>
              <w:top w:w="60" w:type="dxa"/>
              <w:left w:w="100" w:type="dxa"/>
              <w:bottom w:w="60" w:type="dxa"/>
              <w:right w:w="100" w:type="dxa"/>
            </w:tcMar>
          </w:tcPr>
          <w:p>
            <w:pPr>
              <w:spacing w:before="0" w:after="20" w:line="252" w:lineRule="auto"/>
            </w:pPr>
            <w:r/>
            <w:r>
              <w:rPr>
                <w:rFonts w:ascii="Arial" w:hAnsi="Arial" w:cs="Arial" w:eastAsia="Arial"/>
                <w:b w:val="0"/>
                <w:i w:val="0"/>
                <w:color w:val="262626"/>
                <w:sz w:val="18"/>
              </w:rPr>
              <w:t>Tests: designed, executed, Pass, Fail, Blocked, Not run</w:t>
            </w:r>
          </w:p>
        </w:tc>
        <w:tc>
          <w:tcPr>
            <w:tcW w:w="366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2F5F9"/>
            <w:tcMar>
              <w:top w:w="60" w:type="dxa"/>
              <w:left w:w="100" w:type="dxa"/>
              <w:bottom w:w="60" w:type="dxa"/>
              <w:right w:w="100" w:type="dxa"/>
            </w:tcMar>
          </w:tcPr>
          <w:p>
            <w:pPr>
              <w:spacing w:before="0" w:after="20" w:line="252" w:lineRule="auto"/>
            </w:pPr>
            <w:r/>
            <w:r>
              <w:rPr>
                <w:rFonts w:ascii="Arial" w:hAnsi="Arial" w:cs="Arial" w:eastAsia="Arial"/>
                <w:b w:val="0"/>
                <w:i w:val="0"/>
                <w:color w:val="262626"/>
                <w:sz w:val="18"/>
              </w:rPr>
              <w:t xml:space="preserve">FSF-17 Dashboard: B2 to B6 (designed, Not run, Pass, Fail, Blocked); B10 and B11 (executed, pass rate)</w:t>
            </w:r>
          </w:p>
        </w:tc>
        <w:tc>
          <w:tcPr>
            <w:tcW w:w="347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2F5F9"/>
            <w:tcMar>
              <w:top w:w="60" w:type="dxa"/>
              <w:left w:w="100" w:type="dxa"/>
              <w:bottom w:w="60" w:type="dxa"/>
              <w:right w:w="100" w:type="dxa"/>
            </w:tcMar>
          </w:tcPr>
          <w:p>
            <w:pPr>
              <w:spacing w:before="0" w:after="20" w:line="252" w:lineRule="auto"/>
            </w:pPr>
            <w:r/>
            <w:r>
              <w:rPr>
                <w:rFonts w:ascii="Arial" w:hAnsi="Arial" w:cs="Arial" w:eastAsia="Arial"/>
                <w:b w:val="0"/>
                <w:i w:val="0"/>
                <w:color w:val="262626"/>
                <w:sz w:val="18"/>
              </w:rPr>
              <w:t>35 designed; 26 executed (21 Pass, 5 Fail); 2 Blocked; 7 Not run</w:t>
            </w:r>
          </w:p>
        </w:tc>
      </w:tr>
      <w:tr>
        <w:trPr>
          <w:cantSplit/>
        </w:trPr>
        <w:tc>
          <w:tcPr>
            <w:tcW w:w="250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>
            <w:pPr>
              <w:spacing w:before="0" w:after="20" w:line="252" w:lineRule="auto"/>
            </w:pPr>
            <w:r/>
            <w:r>
              <w:rPr>
                <w:rFonts w:ascii="Arial" w:hAnsi="Arial" w:cs="Arial" w:eastAsia="Arial"/>
                <w:b w:val="0"/>
                <w:i w:val="0"/>
                <w:color w:val="262626"/>
                <w:sz w:val="18"/>
              </w:rPr>
              <w:t>Quality: outstanding defects, exit criteria</w:t>
            </w:r>
          </w:p>
        </w:tc>
        <w:tc>
          <w:tcPr>
            <w:tcW w:w="366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>
            <w:pPr>
              <w:spacing w:before="0" w:after="20" w:line="252" w:lineRule="auto"/>
            </w:pPr>
            <w:r/>
            <w:r>
              <w:rPr>
                <w:rFonts w:ascii="Arial" w:hAnsi="Arial" w:cs="Arial" w:eastAsia="Arial"/>
                <w:b w:val="0"/>
                <w:i w:val="0"/>
                <w:color w:val="262626"/>
                <w:sz w:val="18"/>
              </w:rPr>
              <w:t xml:space="preserve">FSF-17 Dashboard B8 (outstanding defects); UAT Sign-off B26 to B31 (exit-criteria check); GOV-04 Stage Gates, row G3</w:t>
            </w:r>
          </w:p>
        </w:tc>
        <w:tc>
          <w:tcPr>
            <w:tcW w:w="347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>
            <w:pPr>
              <w:spacing w:before="0" w:after="20" w:line="252" w:lineRule="auto"/>
            </w:pPr>
            <w:r/>
            <w:r>
              <w:rPr>
                <w:rFonts w:ascii="Arial" w:hAnsi="Arial" w:cs="Arial" w:eastAsia="Arial"/>
                <w:b w:val="0"/>
                <w:i w:val="0"/>
                <w:color w:val="262626"/>
                <w:sz w:val="18"/>
              </w:rPr>
              <w:t>5 outstanding (3 High, 2 Medium); 3 tests not executed; pass rate 81% against 95%</w:t>
            </w:r>
          </w:p>
        </w:tc>
      </w:tr>
      <w:tr>
        <w:trPr>
          <w:cantSplit/>
        </w:trPr>
        <w:tc>
          <w:tcPr>
            <w:tcW w:w="250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2F5F9"/>
            <w:tcMar>
              <w:top w:w="60" w:type="dxa"/>
              <w:left w:w="100" w:type="dxa"/>
              <w:bottom w:w="60" w:type="dxa"/>
              <w:right w:w="100" w:type="dxa"/>
            </w:tcMar>
          </w:tcPr>
          <w:p>
            <w:pPr>
              <w:spacing w:before="0" w:after="20" w:line="252" w:lineRule="auto"/>
            </w:pPr>
            <w:r/>
            <w:r>
              <w:rPr>
                <w:rFonts w:ascii="Arial" w:hAnsi="Arial" w:cs="Arial" w:eastAsia="Arial"/>
                <w:b w:val="0"/>
                <w:i w:val="0"/>
                <w:color w:val="262626"/>
                <w:sz w:val="18"/>
              </w:rPr>
              <w:t>Open-questions line</w:t>
            </w:r>
          </w:p>
        </w:tc>
        <w:tc>
          <w:tcPr>
            <w:tcW w:w="366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2F5F9"/>
            <w:tcMar>
              <w:top w:w="60" w:type="dxa"/>
              <w:left w:w="100" w:type="dxa"/>
              <w:bottom w:w="60" w:type="dxa"/>
              <w:right w:w="100" w:type="dxa"/>
            </w:tcMar>
          </w:tcPr>
          <w:p>
            <w:pPr>
              <w:spacing w:before="0" w:after="20" w:line="252" w:lineRule="auto"/>
            </w:pPr>
            <w:r/>
            <w:r>
              <w:rPr>
                <w:rFonts w:ascii="Arial" w:hAnsi="Arial" w:cs="Arial" w:eastAsia="Arial"/>
                <w:b w:val="0"/>
                <w:i w:val="0"/>
                <w:color w:val="262626"/>
                <w:sz w:val="18"/>
              </w:rPr>
              <w:t xml:space="preserve">FSF-13 Summary: B3 (total), B8 (percent closed), B9 (overdue)</w:t>
            </w:r>
          </w:p>
        </w:tc>
        <w:tc>
          <w:tcPr>
            <w:tcW w:w="347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2F5F9"/>
            <w:tcMar>
              <w:top w:w="60" w:type="dxa"/>
              <w:left w:w="100" w:type="dxa"/>
              <w:bottom w:w="60" w:type="dxa"/>
              <w:right w:w="100" w:type="dxa"/>
            </w:tcMar>
          </w:tcPr>
          <w:p>
            <w:pPr>
              <w:spacing w:before="0" w:after="20" w:line="252" w:lineRule="auto"/>
            </w:pPr>
            <w:r/>
            <w:r>
              <w:rPr>
                <w:rFonts w:ascii="Arial" w:hAnsi="Arial" w:cs="Arial" w:eastAsia="Arial"/>
                <w:b w:val="0"/>
                <w:i w:val="0"/>
                <w:color w:val="262626"/>
                <w:sz w:val="18"/>
              </w:rPr>
              <w:t>12 total; 50% closed; 1 overdue (OQ-005)</w:t>
            </w:r>
          </w:p>
        </w:tc>
      </w:tr>
      <w:tr>
        <w:trPr>
          <w:cantSplit/>
        </w:trPr>
        <w:tc>
          <w:tcPr>
            <w:tcW w:w="250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>
            <w:pPr>
              <w:spacing w:before="0" w:after="20" w:line="252" w:lineRule="auto"/>
            </w:pPr>
            <w:r/>
            <w:r>
              <w:rPr>
                <w:rFonts w:ascii="Arial" w:hAnsi="Arial" w:cs="Arial" w:eastAsia="Arial"/>
                <w:b w:val="0"/>
                <w:i w:val="0"/>
                <w:color w:val="262626"/>
                <w:sz w:val="18"/>
              </w:rPr>
              <w:t>Risks table</w:t>
            </w:r>
          </w:p>
        </w:tc>
        <w:tc>
          <w:tcPr>
            <w:tcW w:w="366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>
            <w:pPr>
              <w:spacing w:before="0" w:after="20" w:line="252" w:lineRule="auto"/>
            </w:pPr>
            <w:r/>
            <w:r>
              <w:rPr>
                <w:rFonts w:ascii="Arial" w:hAnsi="Arial" w:cs="Arial" w:eastAsia="Arial"/>
                <w:b w:val="0"/>
                <w:i w:val="0"/>
                <w:color w:val="262626"/>
                <w:sz w:val="18"/>
              </w:rPr>
              <w:t xml:space="preserve">GOV-01 Dashboard: A6 to H11 (top five residual risks, with trend); D16 (residual Red) and D19 (inherent Red)</w:t>
            </w:r>
          </w:p>
        </w:tc>
        <w:tc>
          <w:tcPr>
            <w:tcW w:w="347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>
            <w:pPr>
              <w:spacing w:before="0" w:after="20" w:line="252" w:lineRule="auto"/>
            </w:pPr>
            <w:r/>
            <w:r>
              <w:rPr>
                <w:rFonts w:ascii="Arial" w:hAnsi="Arial" w:cs="Arial" w:eastAsia="Arial"/>
                <w:b w:val="0"/>
                <w:i w:val="0"/>
                <w:color w:val="262626"/>
                <w:sz w:val="18"/>
              </w:rPr>
              <w:t>RISK-03 (12), RISK-09 (10), RISK-04 (9), RISK-06 (9), RISK-01 (8)</w:t>
            </w:r>
          </w:p>
        </w:tc>
      </w:tr>
      <w:tr>
        <w:trPr>
          <w:cantSplit/>
        </w:trPr>
        <w:tc>
          <w:tcPr>
            <w:tcW w:w="250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2F5F9"/>
            <w:tcMar>
              <w:top w:w="60" w:type="dxa"/>
              <w:left w:w="100" w:type="dxa"/>
              <w:bottom w:w="60" w:type="dxa"/>
              <w:right w:w="100" w:type="dxa"/>
            </w:tcMar>
          </w:tcPr>
          <w:p>
            <w:pPr>
              <w:spacing w:before="0" w:after="20" w:line="252" w:lineRule="auto"/>
            </w:pPr>
            <w:r/>
            <w:r>
              <w:rPr>
                <w:rFonts w:ascii="Arial" w:hAnsi="Arial" w:cs="Arial" w:eastAsia="Arial"/>
                <w:b w:val="0"/>
                <w:i w:val="0"/>
                <w:color w:val="262626"/>
                <w:sz w:val="18"/>
              </w:rPr>
              <w:t>Issues and dependencies</w:t>
            </w:r>
          </w:p>
        </w:tc>
        <w:tc>
          <w:tcPr>
            <w:tcW w:w="366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2F5F9"/>
            <w:tcMar>
              <w:top w:w="60" w:type="dxa"/>
              <w:left w:w="100" w:type="dxa"/>
              <w:bottom w:w="60" w:type="dxa"/>
              <w:right w:w="100" w:type="dxa"/>
            </w:tcMar>
          </w:tcPr>
          <w:p>
            <w:pPr>
              <w:spacing w:before="0" w:after="20" w:line="252" w:lineRule="auto"/>
            </w:pPr>
            <w:r/>
            <w:r>
              <w:rPr>
                <w:rFonts w:ascii="Arial" w:hAnsi="Arial" w:cs="Arial" w:eastAsia="Arial"/>
                <w:b w:val="0"/>
                <w:i w:val="0"/>
                <w:color w:val="262626"/>
                <w:sz w:val="18"/>
              </w:rPr>
              <w:t xml:space="preserve">GOV-01 Issues sheet (open, with target date) and Dashboard D29 to D31; Dependencies sheet (At Risk or Late) and Dashboard D40</w:t>
            </w:r>
          </w:p>
        </w:tc>
        <w:tc>
          <w:tcPr>
            <w:tcW w:w="347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2F5F9"/>
            <w:tcMar>
              <w:top w:w="60" w:type="dxa"/>
              <w:left w:w="100" w:type="dxa"/>
              <w:bottom w:w="60" w:type="dxa"/>
              <w:right w:w="100" w:type="dxa"/>
            </w:tcMar>
          </w:tcPr>
          <w:p>
            <w:pPr>
              <w:spacing w:before="0" w:after="20" w:line="252" w:lineRule="auto"/>
            </w:pPr>
            <w:r/>
            <w:r>
              <w:rPr>
                <w:rFonts w:ascii="Arial" w:hAnsi="Arial" w:cs="Arial" w:eastAsia="Arial"/>
                <w:b w:val="0"/>
                <w:i w:val="0"/>
                <w:color w:val="262626"/>
                <w:sz w:val="18"/>
              </w:rPr>
              <w:t>ISS-01 to ISS-03; DEP-01 At Risk</w:t>
            </w:r>
          </w:p>
        </w:tc>
      </w:tr>
      <w:tr>
        <w:trPr>
          <w:cantSplit/>
        </w:trPr>
        <w:tc>
          <w:tcPr>
            <w:tcW w:w="250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>
            <w:pPr>
              <w:spacing w:before="0" w:after="20" w:line="252" w:lineRule="auto"/>
            </w:pPr>
            <w:r/>
            <w:r>
              <w:rPr>
                <w:rFonts w:ascii="Arial" w:hAnsi="Arial" w:cs="Arial" w:eastAsia="Arial"/>
                <w:b w:val="0"/>
                <w:i w:val="0"/>
                <w:color w:val="262626"/>
                <w:sz w:val="18"/>
              </w:rPr>
              <w:t>Decisions needed</w:t>
            </w:r>
          </w:p>
        </w:tc>
        <w:tc>
          <w:tcPr>
            <w:tcW w:w="366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>
            <w:pPr>
              <w:spacing w:before="0" w:after="20" w:line="252" w:lineRule="auto"/>
            </w:pPr>
            <w:r/>
            <w:r>
              <w:rPr>
                <w:rFonts w:ascii="Arial" w:hAnsi="Arial" w:cs="Arial" w:eastAsia="Arial"/>
                <w:b w:val="0"/>
                <w:i w:val="0"/>
                <w:color w:val="262626"/>
                <w:sz w:val="18"/>
              </w:rPr>
              <w:t xml:space="preserve">GOV-02 Summary B5 (Pending) and the Decision Log filtered to Pending; FSF-05 Dashboard B6 (Under Review)</w:t>
            </w:r>
          </w:p>
        </w:tc>
        <w:tc>
          <w:tcPr>
            <w:tcW w:w="347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>
            <w:pPr>
              <w:spacing w:before="0" w:after="20" w:line="252" w:lineRule="auto"/>
            </w:pPr>
            <w:r/>
            <w:r>
              <w:rPr>
                <w:rFonts w:ascii="Arial" w:hAnsi="Arial" w:cs="Arial" w:eastAsia="Arial"/>
                <w:b w:val="0"/>
                <w:i w:val="0"/>
                <w:color w:val="262626"/>
                <w:sz w:val="18"/>
              </w:rPr>
              <w:t>DEC-09, DEC-01, DEC-08</w:t>
            </w:r>
          </w:p>
        </w:tc>
      </w:tr>
      <w:tr>
        <w:trPr>
          <w:cantSplit/>
        </w:trPr>
        <w:tc>
          <w:tcPr>
            <w:tcW w:w="2505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2F5F9"/>
            <w:tcMar>
              <w:top w:w="60" w:type="dxa"/>
              <w:left w:w="100" w:type="dxa"/>
              <w:bottom w:w="60" w:type="dxa"/>
              <w:right w:w="100" w:type="dxa"/>
            </w:tcMar>
          </w:tcPr>
          <w:p>
            <w:pPr>
              <w:spacing w:before="0" w:after="20" w:line="252" w:lineRule="auto"/>
            </w:pPr>
            <w:r/>
            <w:r>
              <w:rPr>
                <w:rFonts w:ascii="Arial" w:hAnsi="Arial" w:cs="Arial" w:eastAsia="Arial"/>
                <w:b w:val="0"/>
                <w:i w:val="0"/>
                <w:color w:val="262626"/>
                <w:sz w:val="18"/>
              </w:rPr>
              <w:t>Actions</w:t>
            </w:r>
          </w:p>
        </w:tc>
        <w:tc>
          <w:tcPr>
            <w:tcW w:w="366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2F5F9"/>
            <w:tcMar>
              <w:top w:w="60" w:type="dxa"/>
              <w:left w:w="100" w:type="dxa"/>
              <w:bottom w:w="60" w:type="dxa"/>
              <w:right w:w="100" w:type="dxa"/>
            </w:tcMar>
          </w:tcPr>
          <w:p>
            <w:pPr>
              <w:spacing w:before="0" w:after="20" w:line="252" w:lineRule="auto"/>
            </w:pPr>
            <w:r/>
            <w:r>
              <w:rPr>
                <w:rFonts w:ascii="Arial" w:hAnsi="Arial" w:cs="Arial" w:eastAsia="Arial"/>
                <w:b w:val="0"/>
                <w:i w:val="0"/>
                <w:color w:val="262626"/>
                <w:sz w:val="18"/>
              </w:rPr>
              <w:t>Project action list: open actions from this report and the last</w:t>
            </w:r>
          </w:p>
        </w:tc>
        <w:tc>
          <w:tcPr>
            <w:tcW w:w="347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2F5F9"/>
            <w:tcMar>
              <w:top w:w="60" w:type="dxa"/>
              <w:left w:w="100" w:type="dxa"/>
              <w:bottom w:w="60" w:type="dxa"/>
              <w:right w:w="100" w:type="dxa"/>
            </w:tcMar>
          </w:tcPr>
          <w:p>
            <w:pPr>
              <w:spacing w:before="0" w:after="20" w:line="252" w:lineRule="auto"/>
            </w:pPr>
            <w:r/>
            <w:r>
              <w:rPr>
                <w:rFonts w:ascii="Arial" w:hAnsi="Arial" w:cs="Arial" w:eastAsia="Arial"/>
                <w:b w:val="0"/>
                <w:i w:val="0"/>
                <w:color w:val="262626"/>
                <w:sz w:val="18"/>
              </w:rPr>
              <w:t>A001 to A006</w:t>
            </w:r>
          </w:p>
        </w:tc>
      </w:tr>
    </w:tbl>
    <w:p>
      <w:pPr>
        <w:spacing w:after="80" w:before="0"/>
      </w:pPr>
    </w:p>
    <w:sectPr w:rsidR="00FC693F" w:rsidRPr="0006063C" w:rsidSect="00034616">
      <w:footerReference w:type="default" r:id="rId9"/>
      <w:headerReference w:type="default" r:id="rId10"/>
      <w:pgSz w:w="11906" w:h="16838"/>
      <w:pgMar w:top="1134" w:right="1134" w:bottom="1134" w:left="1134" w:header="720" w:footer="50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</w:pPr>
    <w:r>
      <w:rPr>
        <w:rFonts w:ascii="Arial" w:hAnsi="Arial" w:cs="Arial" w:eastAsia="Arial"/>
        <w:b w:val="0"/>
        <w:i w:val="0"/>
        <w:color w:val="7F7F7F"/>
        <w:sz w:val="16"/>
      </w:rPr>
      <w:t xml:space="preserve">BA AI Collective | Worked example: GOV-05 Status Report | v9.3 | Page </w:t>
    </w:r>
    <w:r>
      <w:rPr>
        <w:rFonts w:ascii="Arial" w:hAnsi="Arial" w:cs="Arial" w:eastAsia="Arial"/>
        <w:color w:val="7F7F7F"/>
        <w:sz w:val="16"/>
      </w:rPr>
      <w:fldChar w:fldCharType="begin"/>
    </w:r>
    <w:r>
      <w:rPr>
        <w:rFonts w:ascii="Arial" w:hAnsi="Arial" w:cs="Arial" w:eastAsia="Arial"/>
        <w:color w:val="7F7F7F"/>
        <w:sz w:val="16"/>
      </w:rPr>
      <w:instrText xml:space="preserve"> PAGE </w:instrText>
    </w:r>
    <w:r>
      <w:rPr>
        <w:rFonts w:ascii="Arial" w:hAnsi="Arial" w:cs="Arial" w:eastAsia="Arial"/>
        <w:color w:val="7F7F7F"/>
        <w:sz w:val="16"/>
      </w:rPr>
      <w:fldChar w:fldCharType="separate"/>
    </w:r>
    <w:r>
      <w:rPr>
        <w:rFonts w:ascii="Arial" w:hAnsi="Arial" w:cs="Arial" w:eastAsia="Arial"/>
        <w:color w:val="7F7F7F"/>
        <w:sz w:val="16"/>
      </w:rPr>
      <w:t>1</w:t>
    </w:r>
    <w:r>
      <w:rPr>
        <w:rFonts w:ascii="Arial" w:hAnsi="Arial" w:cs="Arial" w:eastAsia="Arial"/>
        <w:color w:val="7F7F7F"/>
        <w:sz w:val="16"/>
      </w:rPr>
      <w:fldChar w:fldCharType="end"/>
    </w:r>
    <w:r>
      <w:rPr>
        <w:rFonts w:ascii="Arial" w:hAnsi="Arial" w:cs="Arial" w:eastAsia="Arial"/>
        <w:b w:val="0"/>
        <w:i w:val="0"/>
        <w:color w:val="7F7F7F"/>
        <w:sz w:val="16"/>
      </w:rPr>
      <w:t xml:space="preserve"> of </w:t>
    </w:r>
    <w:r>
      <w:rPr>
        <w:rFonts w:ascii="Arial" w:hAnsi="Arial" w:cs="Arial" w:eastAsia="Arial"/>
        <w:color w:val="7F7F7F"/>
        <w:sz w:val="16"/>
      </w:rPr>
      <w:fldChar w:fldCharType="begin"/>
    </w:r>
    <w:r>
      <w:rPr>
        <w:rFonts w:ascii="Arial" w:hAnsi="Arial" w:cs="Arial" w:eastAsia="Arial"/>
        <w:color w:val="7F7F7F"/>
        <w:sz w:val="16"/>
      </w:rPr>
      <w:instrText xml:space="preserve"> NUMPAGES </w:instrText>
    </w:r>
    <w:r>
      <w:rPr>
        <w:rFonts w:ascii="Arial" w:hAnsi="Arial" w:cs="Arial" w:eastAsia="Arial"/>
        <w:color w:val="7F7F7F"/>
        <w:sz w:val="16"/>
      </w:rPr>
      <w:fldChar w:fldCharType="separate"/>
    </w:r>
    <w:r>
      <w:rPr>
        <w:rFonts w:ascii="Arial" w:hAnsi="Arial" w:cs="Arial" w:eastAsia="Arial"/>
        <w:color w:val="7F7F7F"/>
        <w:sz w:val="16"/>
      </w:rPr>
      <w:t>1</w:t>
    </w:r>
    <w:r>
      <w:rPr>
        <w:rFonts w:ascii="Arial" w:hAnsi="Arial" w:cs="Arial" w:eastAsia="Arial"/>
        <w:color w:val="7F7F7F"/>
        <w:sz w:val="16"/>
      </w:rPr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hAnsi="Arial" w:cs="Arial" w:eastAsia="Arial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keepNext w:val="0"/>
      <w:spacing w:before="0" w:after="120" w:line="264" w:lineRule="auto"/>
    </w:pPr>
    <w:rPr>
      <w:rFonts w:ascii="Arial" w:hAnsi="Arial" w:cs="Arial" w:eastAsia="Arial"/>
      <w:b w:val="0"/>
      <w:i w:val="0"/>
      <w:color w:val="262626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keepNext w:val="0"/>
      <w:tabs>
        <w:tab w:val="center" w:pos="4680"/>
        <w:tab w:val="right" w:pos="9360"/>
      </w:tabs>
      <w:spacing w:after="0" w:line="240" w:lineRule="auto" w:before="0"/>
    </w:pPr>
    <w:rPr>
      <w:rFonts w:ascii="Arial" w:hAnsi="Arial" w:cs="Arial" w:eastAsia="Arial"/>
      <w:b w:val="0"/>
      <w:i w:val="0"/>
      <w:color w:val="7F7F7F"/>
      <w:sz w:val="16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keepNext w:val="0"/>
      <w:tabs>
        <w:tab w:val="center" w:pos="4680"/>
        <w:tab w:val="right" w:pos="9360"/>
      </w:tabs>
      <w:spacing w:after="0" w:line="240" w:lineRule="auto" w:before="0"/>
    </w:pPr>
    <w:rPr>
      <w:rFonts w:ascii="Arial" w:hAnsi="Arial" w:cs="Arial" w:eastAsia="Arial"/>
      <w:b w:val="0"/>
      <w:i w:val="0"/>
      <w:color w:val="7F7F7F"/>
      <w:sz w:val="16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80" w:after="120"/>
      <w:outlineLvl w:val="0"/>
    </w:pPr>
    <w:rPr>
      <w:rFonts w:ascii="Arial" w:hAnsi="Arial" w:cs="Arial" w:eastAsia="Arial"/>
      <w:b/>
      <w:bCs/>
      <w:i w:val="0"/>
      <w:color w:val="1F4E78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80"/>
      <w:outlineLvl w:val="1"/>
    </w:pPr>
    <w:rPr>
      <w:rFonts w:ascii="Arial" w:hAnsi="Arial" w:cs="Arial" w:eastAsia="Arial"/>
      <w:b/>
      <w:bCs/>
      <w:i w:val="0"/>
      <w:color w:val="1F4E78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60"/>
      <w:outlineLvl w:val="2"/>
    </w:pPr>
    <w:rPr>
      <w:rFonts w:ascii="Arial" w:hAnsi="Arial" w:cs="Arial" w:eastAsia="Arial"/>
      <w:b/>
      <w:bCs/>
      <w:i w:val="0"/>
      <w:color w:val="1F4E78"/>
      <w:sz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80" w:line="240" w:lineRule="auto" w:before="0"/>
      <w:contextualSpacing/>
    </w:pPr>
    <w:rPr>
      <w:rFonts w:ascii="Arial" w:hAnsi="Arial" w:cs="Arial" w:eastAsia="Arial"/>
      <w:b/>
      <w:i w:val="0"/>
      <w:caps w:val="0"/>
      <w:smallCaps w:val="0"/>
      <w:color w:val="1F4E78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keepNext w:val="0"/>
      <w:numPr>
        <w:numId w:val="1"/>
      </w:numPr>
      <w:spacing w:before="0" w:after="60"/>
      <w:contextualSpacing/>
    </w:pPr>
    <w:rPr>
      <w:rFonts w:ascii="Arial" w:hAnsi="Arial" w:cs="Arial" w:eastAsia="Arial"/>
      <w:b w:val="0"/>
      <w:i w:val="0"/>
      <w:color w:val="262626"/>
      <w:sz w:val="20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Worked example: GOV-05 Status Report</dc:title>
  <dc:subject/>
  <dc:creator>BA AI Collective</dc:creator>
  <cp:keywords/>
  <dc:description/>
  <cp:lastModifiedBy>BA AI Collective</cp:lastModifiedBy>
  <cp:revision>1</cp:revision>
  <dcterms:created xsi:type="dcterms:W3CDTF">2026-10-27T00:00:00Z</dcterms:created>
  <dcterms:modified xsi:type="dcterms:W3CDTF">2026-10-27T00:00:00Z</dcterms:modified>
  <cp:category/>
</cp:coreProperties>
</file>